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</w:tblGrid>
      <w:tr w:rsidR="001E56D0" w14:paraId="483A697A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EABE1" w14:textId="77777777" w:rsidR="001E56D0" w:rsidRPr="00D27B57" w:rsidRDefault="001E56D0" w:rsidP="009846C6">
            <w:pPr>
              <w:pStyle w:val="Heading4"/>
              <w:jc w:val="left"/>
              <w:rPr>
                <w:rFonts w:ascii="Arial" w:hAnsi="Arial" w:cs="Arial"/>
                <w:sz w:val="22"/>
              </w:rPr>
            </w:pPr>
            <w:r w:rsidRPr="00D27B57">
              <w:rPr>
                <w:rFonts w:ascii="Arial" w:hAnsi="Arial" w:cs="Arial"/>
                <w:sz w:val="22"/>
              </w:rPr>
              <w:t>Ref. C</w:t>
            </w:r>
            <w:r w:rsidR="00D27B57" w:rsidRPr="00D27B57">
              <w:rPr>
                <w:rFonts w:ascii="Arial" w:hAnsi="Arial" w:cs="Arial"/>
                <w:sz w:val="22"/>
              </w:rPr>
              <w:t>AT 21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4A557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 xml:space="preserve">Task/Activity: </w:t>
            </w:r>
            <w:r w:rsidR="004868B1" w:rsidRPr="004868B1">
              <w:rPr>
                <w:rFonts w:ascii="Arial" w:hAnsi="Arial" w:cs="Arial"/>
                <w:bCs w:val="0"/>
                <w:sz w:val="24"/>
                <w:szCs w:val="23"/>
              </w:rPr>
              <w:t>Equipment Washing in Sinks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37C2D5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Assessment date:</w:t>
            </w:r>
          </w:p>
        </w:tc>
      </w:tr>
      <w:tr w:rsidR="001E56D0" w14:paraId="67F83FBB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D5028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8B20C" w14:textId="77777777" w:rsidR="001E56D0" w:rsidRPr="000743C6" w:rsidRDefault="000743C6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name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/</w:t>
            </w:r>
            <w:r w:rsidRPr="000743C6">
              <w:rPr>
                <w:rFonts w:ascii="Arial" w:hAnsi="Arial" w:cs="Arial"/>
                <w:b w:val="0"/>
                <w:sz w:val="22"/>
              </w:rPr>
              <w:t>l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353F2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Assessed by:</w:t>
            </w:r>
          </w:p>
        </w:tc>
      </w:tr>
      <w:tr w:rsidR="009646CD" w14:paraId="3A35B99E" w14:textId="77777777" w:rsidTr="000743C6">
        <w:trPr>
          <w:cantSplit/>
          <w:trHeight w:val="37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1DA73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64EBB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DD75DC9" w14:textId="77777777" w:rsidR="009646CD" w:rsidRPr="00AB0D7D" w:rsidRDefault="009646CD">
            <w:pPr>
              <w:pStyle w:val="Heading4"/>
              <w:rPr>
                <w:rFonts w:ascii="Arial" w:hAnsi="Arial" w:cs="Arial"/>
                <w:sz w:val="24"/>
              </w:rPr>
            </w:pPr>
            <w:r w:rsidRPr="00AB0D7D">
              <w:rPr>
                <w:rFonts w:ascii="Arial" w:hAnsi="Arial" w:cs="Arial"/>
                <w:sz w:val="24"/>
              </w:rPr>
              <w:t xml:space="preserve">Safe System </w:t>
            </w:r>
            <w:r w:rsidR="000743C6" w:rsidRPr="00AB0D7D">
              <w:rPr>
                <w:rFonts w:ascii="Arial" w:hAnsi="Arial" w:cs="Arial"/>
                <w:sz w:val="24"/>
              </w:rPr>
              <w:t>o</w:t>
            </w:r>
            <w:r w:rsidRPr="00AB0D7D">
              <w:rPr>
                <w:rFonts w:ascii="Arial" w:hAnsi="Arial" w:cs="Arial"/>
                <w:sz w:val="24"/>
              </w:rPr>
              <w:t>f Work / Control Measures</w:t>
            </w:r>
          </w:p>
        </w:tc>
      </w:tr>
      <w:tr w:rsidR="004868B1" w14:paraId="08A1AFF5" w14:textId="77777777" w:rsidTr="000743C6">
        <w:trPr>
          <w:cantSplit/>
          <w:trHeight w:val="5334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B4D2" w14:textId="77777777" w:rsidR="004868B1" w:rsidRDefault="004868B1" w:rsidP="00521A96">
            <w:pPr>
              <w:rPr>
                <w:rFonts w:ascii="Arial" w:hAnsi="Arial" w:cs="Arial"/>
                <w:bCs/>
              </w:rPr>
            </w:pPr>
          </w:p>
          <w:p w14:paraId="470BAEA3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  <w:r>
              <w:rPr>
                <w:rFonts w:ascii="Arial" w:hAnsi="Arial" w:cs="Arial"/>
                <w:bCs/>
                <w:szCs w:val="23"/>
              </w:rPr>
              <w:t>Hot water</w:t>
            </w:r>
          </w:p>
          <w:p w14:paraId="26376E98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</w:p>
          <w:p w14:paraId="379A8CB8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  <w:r>
              <w:rPr>
                <w:rFonts w:ascii="Arial" w:hAnsi="Arial" w:cs="Arial"/>
                <w:bCs/>
                <w:szCs w:val="23"/>
              </w:rPr>
              <w:t>Hot cooking pots and hot food and liquid</w:t>
            </w:r>
          </w:p>
          <w:p w14:paraId="3F153DF8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</w:p>
          <w:p w14:paraId="2CF725BE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  <w:r>
              <w:rPr>
                <w:rFonts w:ascii="Arial" w:hAnsi="Arial" w:cs="Arial"/>
                <w:bCs/>
                <w:szCs w:val="23"/>
              </w:rPr>
              <w:t>Washing detergents</w:t>
            </w:r>
          </w:p>
          <w:p w14:paraId="206FAAEA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</w:p>
          <w:p w14:paraId="76FC9205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  <w:r>
              <w:rPr>
                <w:rFonts w:ascii="Arial" w:hAnsi="Arial" w:cs="Arial"/>
                <w:bCs/>
                <w:szCs w:val="23"/>
              </w:rPr>
              <w:t>Knives and sharp objects</w:t>
            </w:r>
          </w:p>
          <w:p w14:paraId="527AC0CD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</w:p>
          <w:p w14:paraId="4A436365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  <w:r>
              <w:rPr>
                <w:rFonts w:ascii="Arial" w:hAnsi="Arial" w:cs="Arial"/>
                <w:bCs/>
                <w:szCs w:val="23"/>
              </w:rPr>
              <w:t>Broken glassware and crockery</w:t>
            </w:r>
          </w:p>
          <w:p w14:paraId="1648FB40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</w:p>
          <w:p w14:paraId="08DB8CC3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  <w:r>
              <w:rPr>
                <w:rFonts w:ascii="Arial" w:hAnsi="Arial" w:cs="Arial"/>
                <w:bCs/>
                <w:szCs w:val="23"/>
              </w:rPr>
              <w:t xml:space="preserve">Manual handling </w:t>
            </w:r>
          </w:p>
          <w:p w14:paraId="69B3C564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</w:p>
          <w:p w14:paraId="30A88225" w14:textId="77777777" w:rsidR="004868B1" w:rsidRPr="004E5218" w:rsidRDefault="004868B1" w:rsidP="004E5218">
            <w:pPr>
              <w:pStyle w:val="Heading6"/>
              <w:rPr>
                <w:rFonts w:ascii="Arial" w:hAnsi="Arial" w:cs="Arial"/>
                <w:szCs w:val="27"/>
              </w:rPr>
            </w:pPr>
            <w:r>
              <w:rPr>
                <w:rFonts w:ascii="Arial" w:hAnsi="Arial" w:cs="Arial"/>
                <w:szCs w:val="23"/>
              </w:rPr>
              <w:t>Spillages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957FBC" w14:textId="77777777" w:rsidR="004868B1" w:rsidRDefault="004868B1" w:rsidP="00521A96">
            <w:pPr>
              <w:rPr>
                <w:rFonts w:ascii="Arial" w:hAnsi="Arial" w:cs="Arial"/>
                <w:bCs/>
              </w:rPr>
            </w:pPr>
          </w:p>
          <w:p w14:paraId="41523546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  <w:r>
              <w:rPr>
                <w:rFonts w:ascii="Arial" w:hAnsi="Arial" w:cs="Arial"/>
                <w:bCs/>
                <w:szCs w:val="23"/>
              </w:rPr>
              <w:t>Scalds</w:t>
            </w:r>
          </w:p>
          <w:p w14:paraId="09D2A071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</w:p>
          <w:p w14:paraId="7061B2A4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  <w:r>
              <w:rPr>
                <w:rFonts w:ascii="Arial" w:hAnsi="Arial" w:cs="Arial"/>
                <w:bCs/>
                <w:szCs w:val="23"/>
              </w:rPr>
              <w:t>Burns</w:t>
            </w:r>
          </w:p>
          <w:p w14:paraId="6F0F2221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</w:p>
          <w:p w14:paraId="329D4333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</w:p>
          <w:p w14:paraId="5627D511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  <w:r>
              <w:rPr>
                <w:rFonts w:ascii="Arial" w:hAnsi="Arial" w:cs="Arial"/>
                <w:bCs/>
                <w:szCs w:val="23"/>
              </w:rPr>
              <w:t xml:space="preserve">Irritation to skin and eyes </w:t>
            </w:r>
          </w:p>
          <w:p w14:paraId="5125C956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</w:p>
          <w:p w14:paraId="31A9D21E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  <w:r>
              <w:rPr>
                <w:rFonts w:ascii="Arial" w:hAnsi="Arial" w:cs="Arial"/>
                <w:bCs/>
                <w:szCs w:val="23"/>
              </w:rPr>
              <w:t>Cuts and lacerations</w:t>
            </w:r>
          </w:p>
          <w:p w14:paraId="5AEE95A0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</w:p>
          <w:p w14:paraId="0DEEF4F8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</w:p>
          <w:p w14:paraId="23387968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</w:p>
          <w:p w14:paraId="48963DCF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</w:p>
          <w:p w14:paraId="46CDFC6D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  <w:r>
              <w:rPr>
                <w:rFonts w:ascii="Arial" w:hAnsi="Arial" w:cs="Arial"/>
                <w:bCs/>
                <w:szCs w:val="23"/>
              </w:rPr>
              <w:t>Back and muscle strain</w:t>
            </w:r>
          </w:p>
          <w:p w14:paraId="6759AD59" w14:textId="77777777" w:rsidR="004868B1" w:rsidRDefault="004868B1" w:rsidP="00521A96">
            <w:pPr>
              <w:rPr>
                <w:rFonts w:ascii="Arial" w:hAnsi="Arial" w:cs="Arial"/>
                <w:bCs/>
                <w:szCs w:val="23"/>
              </w:rPr>
            </w:pPr>
          </w:p>
          <w:p w14:paraId="765C21AB" w14:textId="77777777" w:rsidR="004868B1" w:rsidRDefault="004868B1" w:rsidP="00521A9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Cs w:val="23"/>
              </w:rPr>
            </w:pPr>
            <w:r>
              <w:rPr>
                <w:rFonts w:ascii="Arial" w:hAnsi="Arial" w:cs="Arial"/>
                <w:bCs/>
                <w:szCs w:val="23"/>
              </w:rPr>
              <w:t>Slips and falls</w:t>
            </w:r>
          </w:p>
        </w:tc>
        <w:tc>
          <w:tcPr>
            <w:tcW w:w="9003" w:type="dxa"/>
            <w:gridSpan w:val="2"/>
            <w:vMerge w:val="restart"/>
          </w:tcPr>
          <w:p w14:paraId="4784A45E" w14:textId="77777777" w:rsidR="001E33B8" w:rsidRPr="001E33B8" w:rsidRDefault="001E33B8" w:rsidP="001E33B8">
            <w:pPr>
              <w:pStyle w:val="BodyText3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E33B8">
              <w:rPr>
                <w:rFonts w:ascii="Arial" w:hAnsi="Arial" w:cs="Arial"/>
                <w:sz w:val="22"/>
                <w:szCs w:val="22"/>
              </w:rPr>
              <w:t xml:space="preserve">Task to be carried out by trained employees and those who have completed the Hand </w:t>
            </w:r>
            <w:r w:rsidR="001E6973">
              <w:rPr>
                <w:rFonts w:ascii="Arial" w:hAnsi="Arial" w:cs="Arial"/>
                <w:sz w:val="22"/>
                <w:szCs w:val="22"/>
              </w:rPr>
              <w:t xml:space="preserve">and Arm </w:t>
            </w:r>
            <w:r w:rsidRPr="001E33B8">
              <w:rPr>
                <w:rFonts w:ascii="Arial" w:hAnsi="Arial" w:cs="Arial"/>
                <w:sz w:val="22"/>
                <w:szCs w:val="22"/>
              </w:rPr>
              <w:t xml:space="preserve">Protection </w:t>
            </w:r>
            <w:r w:rsidR="001E6973">
              <w:rPr>
                <w:rFonts w:ascii="Arial" w:hAnsi="Arial" w:cs="Arial"/>
                <w:sz w:val="22"/>
                <w:szCs w:val="22"/>
              </w:rPr>
              <w:t xml:space="preserve">Safety Conversation 1 and </w:t>
            </w:r>
            <w:r w:rsidRPr="001E33B8">
              <w:rPr>
                <w:rFonts w:ascii="Arial" w:hAnsi="Arial" w:cs="Arial"/>
                <w:sz w:val="22"/>
                <w:szCs w:val="22"/>
              </w:rPr>
              <w:t>Preventing C</w:t>
            </w:r>
            <w:r w:rsidR="001E6973">
              <w:rPr>
                <w:rFonts w:ascii="Arial" w:hAnsi="Arial" w:cs="Arial"/>
                <w:sz w:val="22"/>
                <w:szCs w:val="22"/>
              </w:rPr>
              <w:t>hemical Injuries Safety Conversation 4</w:t>
            </w:r>
            <w:r w:rsidRPr="001E33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A27EBE" w14:textId="77777777" w:rsidR="004868B1" w:rsidRPr="001E33B8" w:rsidRDefault="004868B1" w:rsidP="00521A9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E33B8">
              <w:rPr>
                <w:rFonts w:ascii="Arial" w:hAnsi="Arial" w:cs="Arial"/>
                <w:bCs/>
                <w:sz w:val="22"/>
                <w:szCs w:val="22"/>
              </w:rPr>
              <w:t>Maintain hot water in the sink at around 60</w:t>
            </w:r>
            <w:r w:rsidRPr="001E33B8">
              <w:rPr>
                <w:rFonts w:ascii="Arial" w:hAnsi="Arial" w:cs="Arial"/>
                <w:bCs/>
                <w:sz w:val="22"/>
                <w:szCs w:val="22"/>
              </w:rPr>
              <w:sym w:font="Symbol" w:char="F0B0"/>
            </w:r>
            <w:r w:rsidRPr="001E33B8">
              <w:rPr>
                <w:rFonts w:ascii="Arial" w:hAnsi="Arial" w:cs="Arial"/>
                <w:bCs/>
                <w:sz w:val="22"/>
                <w:szCs w:val="22"/>
              </w:rPr>
              <w:t>C to ensure adequate cleaning and to prevent scalding.</w:t>
            </w:r>
          </w:p>
          <w:p w14:paraId="62E51BA2" w14:textId="77777777" w:rsidR="004868B1" w:rsidRPr="001E33B8" w:rsidRDefault="004868B1" w:rsidP="00521A9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E33B8">
              <w:rPr>
                <w:rFonts w:ascii="Arial" w:hAnsi="Arial" w:cs="Arial"/>
                <w:bCs/>
                <w:sz w:val="22"/>
                <w:szCs w:val="22"/>
              </w:rPr>
              <w:t>Provision and use of PPE, including protective eyewear, gloves</w:t>
            </w:r>
            <w:r w:rsidR="004E5218">
              <w:rPr>
                <w:rFonts w:ascii="Arial" w:hAnsi="Arial" w:cs="Arial"/>
                <w:bCs/>
                <w:sz w:val="22"/>
                <w:szCs w:val="22"/>
              </w:rPr>
              <w:t xml:space="preserve"> (see below)</w:t>
            </w:r>
            <w:r w:rsidRPr="001E33B8">
              <w:rPr>
                <w:rFonts w:ascii="Arial" w:hAnsi="Arial" w:cs="Arial"/>
                <w:bCs/>
                <w:sz w:val="22"/>
                <w:szCs w:val="22"/>
              </w:rPr>
              <w:t xml:space="preserve"> or gauntlets, waterproof aprons and slip resistant footwear where appropriate.</w:t>
            </w:r>
          </w:p>
          <w:p w14:paraId="0A62032D" w14:textId="77777777" w:rsidR="004868B1" w:rsidRPr="001E33B8" w:rsidRDefault="004868B1" w:rsidP="00521A9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E33B8">
              <w:rPr>
                <w:rFonts w:ascii="Arial" w:hAnsi="Arial" w:cs="Arial"/>
                <w:bCs/>
                <w:sz w:val="22"/>
                <w:szCs w:val="22"/>
              </w:rPr>
              <w:t>Allow hot foods, liquids and equipment to cool before emptying and washing.</w:t>
            </w:r>
          </w:p>
          <w:p w14:paraId="6D208958" w14:textId="77777777" w:rsidR="004868B1" w:rsidRPr="001E33B8" w:rsidRDefault="004868B1" w:rsidP="00521A9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E33B8">
              <w:rPr>
                <w:rFonts w:ascii="Arial" w:hAnsi="Arial" w:cs="Arial"/>
                <w:bCs/>
                <w:sz w:val="22"/>
                <w:szCs w:val="22"/>
              </w:rPr>
              <w:t>Wash sharp knives and other sharp objects individually and never place them into sinks.</w:t>
            </w:r>
          </w:p>
          <w:p w14:paraId="1441F76C" w14:textId="77777777" w:rsidR="004868B1" w:rsidRPr="001E33B8" w:rsidRDefault="004868B1" w:rsidP="00521A9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E33B8">
              <w:rPr>
                <w:rFonts w:ascii="Arial" w:hAnsi="Arial" w:cs="Arial"/>
                <w:bCs/>
                <w:sz w:val="22"/>
                <w:szCs w:val="22"/>
              </w:rPr>
              <w:t xml:space="preserve">When glass or crockery break in the sink the water must first be drained out before carefully removing items with gloved hands. </w:t>
            </w:r>
          </w:p>
          <w:p w14:paraId="41BDA6DA" w14:textId="77777777" w:rsidR="004868B1" w:rsidRPr="001E33B8" w:rsidRDefault="004868B1" w:rsidP="00521A96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E33B8">
              <w:rPr>
                <w:rFonts w:ascii="Arial" w:hAnsi="Arial" w:cs="Arial"/>
                <w:bCs/>
                <w:sz w:val="22"/>
                <w:szCs w:val="22"/>
              </w:rPr>
              <w:t>Broken glass, china and other sharp objects to be securely wrapped before placing in a bin liner, or disposed of separately a rigid container.</w:t>
            </w:r>
          </w:p>
          <w:p w14:paraId="23B6D103" w14:textId="77777777" w:rsidR="004868B1" w:rsidRPr="001E33B8" w:rsidRDefault="004868B1" w:rsidP="00521A9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E33B8">
              <w:rPr>
                <w:rFonts w:ascii="Arial" w:hAnsi="Arial" w:cs="Arial"/>
                <w:bCs/>
                <w:sz w:val="22"/>
                <w:szCs w:val="22"/>
              </w:rPr>
              <w:t xml:space="preserve">Sinks not to be overfilled with water to reduce the risk of splashing water onto the floor area. </w:t>
            </w:r>
          </w:p>
          <w:p w14:paraId="377D356F" w14:textId="77777777" w:rsidR="004868B1" w:rsidRPr="001E33B8" w:rsidRDefault="004868B1" w:rsidP="00521A9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E33B8">
              <w:rPr>
                <w:rFonts w:ascii="Arial" w:hAnsi="Arial" w:cs="Arial"/>
                <w:bCs/>
                <w:sz w:val="22"/>
                <w:szCs w:val="22"/>
              </w:rPr>
              <w:t>Items to be placed into sinks and not dropped in to avoid splashing water onto the floor area.</w:t>
            </w:r>
          </w:p>
          <w:p w14:paraId="5977B8E4" w14:textId="77777777" w:rsidR="004868B1" w:rsidRPr="001E33B8" w:rsidRDefault="004868B1" w:rsidP="00521A96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E33B8">
              <w:rPr>
                <w:rFonts w:ascii="Arial" w:hAnsi="Arial" w:cs="Arial"/>
                <w:sz w:val="22"/>
                <w:szCs w:val="22"/>
              </w:rPr>
              <w:t>Spillages cleaned up as they occur and wet floor warning signs used when appropriate.</w:t>
            </w:r>
          </w:p>
          <w:p w14:paraId="60FCED4D" w14:textId="77777777" w:rsidR="004868B1" w:rsidRPr="001E33B8" w:rsidRDefault="004868B1" w:rsidP="00521A96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E33B8">
              <w:rPr>
                <w:rFonts w:ascii="Arial" w:hAnsi="Arial" w:cs="Arial"/>
                <w:sz w:val="22"/>
                <w:szCs w:val="22"/>
              </w:rPr>
              <w:t>Implement the safety precautions in the COSHH Product Assessment and the manual handling safety precautions</w:t>
            </w:r>
          </w:p>
          <w:p w14:paraId="62288115" w14:textId="77777777" w:rsidR="004868B1" w:rsidRPr="004E5218" w:rsidRDefault="00D27B57" w:rsidP="00521A96">
            <w:pPr>
              <w:numPr>
                <w:ilvl w:val="0"/>
                <w:numId w:val="3"/>
              </w:numPr>
              <w:tabs>
                <w:tab w:val="left" w:pos="1674"/>
              </w:tabs>
              <w:rPr>
                <w:rFonts w:ascii="Arial" w:hAnsi="Arial" w:cs="Arial"/>
              </w:rPr>
            </w:pPr>
            <w:r w:rsidRPr="001E33B8">
              <w:rPr>
                <w:rFonts w:ascii="Arial" w:hAnsi="Arial" w:cs="Arial"/>
                <w:sz w:val="22"/>
                <w:szCs w:val="22"/>
              </w:rPr>
              <w:t>Floor maintained in a clean and dry condition, so far as reasonably practicable by implementing the Safe System of Work/Control Measures in the Floor Safety Risk Assessment, Ref MAN 08</w:t>
            </w:r>
            <w:r w:rsidR="004868B1" w:rsidRPr="001E33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ECE1DD" w14:textId="77777777" w:rsidR="004E5218" w:rsidRPr="001E6973" w:rsidRDefault="004E5218" w:rsidP="001E6973">
            <w:pPr>
              <w:numPr>
                <w:ilvl w:val="0"/>
                <w:numId w:val="3"/>
              </w:numPr>
              <w:tabs>
                <w:tab w:val="left" w:pos="1674"/>
              </w:tabs>
              <w:rPr>
                <w:rFonts w:ascii="Arial" w:hAnsi="Arial" w:cs="Arial"/>
                <w:b/>
              </w:rPr>
            </w:pPr>
            <w:r w:rsidRPr="001E6973">
              <w:rPr>
                <w:rFonts w:ascii="Arial" w:hAnsi="Arial" w:cs="Arial"/>
                <w:b/>
                <w:sz w:val="22"/>
                <w:szCs w:val="22"/>
              </w:rPr>
              <w:t xml:space="preserve">Mandatory Hand Protection PPE to be provided – </w:t>
            </w:r>
            <w:proofErr w:type="spellStart"/>
            <w:r w:rsidRPr="001E6973">
              <w:rPr>
                <w:rFonts w:ascii="Arial" w:hAnsi="Arial" w:cs="Arial"/>
                <w:b/>
                <w:sz w:val="22"/>
                <w:szCs w:val="22"/>
              </w:rPr>
              <w:t>Nitritech</w:t>
            </w:r>
            <w:proofErr w:type="spellEnd"/>
            <w:r w:rsidRPr="001E6973">
              <w:rPr>
                <w:rFonts w:ascii="Arial" w:hAnsi="Arial" w:cs="Arial"/>
                <w:b/>
                <w:sz w:val="22"/>
                <w:szCs w:val="22"/>
              </w:rPr>
              <w:t xml:space="preserve"> II </w:t>
            </w:r>
            <w:r w:rsidR="00273E4E">
              <w:rPr>
                <w:rFonts w:ascii="Arial" w:hAnsi="Arial" w:cs="Arial"/>
                <w:b/>
                <w:sz w:val="22"/>
                <w:szCs w:val="22"/>
              </w:rPr>
              <w:t>– order code Q2136</w:t>
            </w:r>
          </w:p>
        </w:tc>
      </w:tr>
      <w:tr w:rsidR="004868B1" w14:paraId="54441B16" w14:textId="77777777" w:rsidTr="000743C6">
        <w:trPr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0739" w14:textId="77777777" w:rsidR="004868B1" w:rsidRDefault="004868B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Who may be affected by the task/activity?</w:t>
            </w:r>
          </w:p>
          <w:p w14:paraId="0969D88C" w14:textId="77777777" w:rsidR="004868B1" w:rsidRDefault="004868B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3CA5273C" w14:textId="77777777" w:rsidR="004868B1" w:rsidRDefault="004868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/>
          </w:tcPr>
          <w:p w14:paraId="26DF015D" w14:textId="77777777" w:rsidR="004868B1" w:rsidRDefault="004868B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68B1" w14:paraId="4012B748" w14:textId="77777777">
        <w:trPr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CFEDB6" w14:textId="77777777" w:rsidR="004868B1" w:rsidRDefault="004868B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DF4D56" w14:textId="77777777" w:rsidR="004868B1" w:rsidRDefault="004868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13A6BD81" w14:textId="77777777" w:rsidR="004868B1" w:rsidRDefault="004868B1">
            <w:pPr>
              <w:rPr>
                <w:rFonts w:ascii="Arial" w:hAnsi="Arial" w:cs="Arial"/>
                <w:b/>
              </w:rPr>
            </w:pPr>
          </w:p>
        </w:tc>
        <w:tc>
          <w:tcPr>
            <w:tcW w:w="9003" w:type="dxa"/>
            <w:gridSpan w:val="2"/>
            <w:vMerge/>
          </w:tcPr>
          <w:p w14:paraId="7EC0A8A5" w14:textId="77777777" w:rsidR="004868B1" w:rsidRDefault="004868B1">
            <w:pPr>
              <w:pStyle w:val="Header"/>
              <w:rPr>
                <w:rFonts w:ascii="Arial" w:hAnsi="Arial" w:cs="Arial"/>
              </w:rPr>
            </w:pPr>
          </w:p>
        </w:tc>
      </w:tr>
      <w:tr w:rsidR="004868B1" w14:paraId="5AC8A690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290E0A04" w14:textId="77777777" w:rsidR="004868B1" w:rsidRDefault="004868B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AA31286" w14:textId="77777777" w:rsidR="004868B1" w:rsidRDefault="004868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7D0A54B3" w14:textId="77777777" w:rsidR="004868B1" w:rsidRDefault="004868B1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106055CF" w14:textId="77777777" w:rsidR="004868B1" w:rsidRDefault="004868B1">
            <w:pPr>
              <w:rPr>
                <w:rFonts w:ascii="Arial" w:hAnsi="Arial" w:cs="Arial"/>
              </w:rPr>
            </w:pPr>
          </w:p>
        </w:tc>
      </w:tr>
      <w:tr w:rsidR="004868B1" w14:paraId="3F383A13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5EAABD46" w14:textId="77777777" w:rsidR="004868B1" w:rsidRDefault="004868B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572C13E6" w14:textId="77777777" w:rsidR="004868B1" w:rsidRDefault="004868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510446DB" w14:textId="77777777" w:rsidR="004868B1" w:rsidRDefault="004868B1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2C1F1368" w14:textId="77777777" w:rsidR="004868B1" w:rsidRDefault="004868B1">
            <w:pPr>
              <w:rPr>
                <w:rFonts w:ascii="Arial" w:hAnsi="Arial" w:cs="Arial"/>
              </w:rPr>
            </w:pPr>
          </w:p>
        </w:tc>
      </w:tr>
      <w:tr w:rsidR="004868B1" w14:paraId="430156DA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6B18B4B4" w14:textId="77777777" w:rsidR="004868B1" w:rsidRDefault="004868B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DD95A5F" w14:textId="77777777" w:rsidR="004868B1" w:rsidRDefault="004868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66CC775" w14:textId="77777777" w:rsidR="004868B1" w:rsidRDefault="004868B1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162C77EC" w14:textId="77777777" w:rsidR="004868B1" w:rsidRDefault="004868B1">
            <w:pPr>
              <w:rPr>
                <w:rFonts w:ascii="Arial" w:hAnsi="Arial" w:cs="Arial"/>
              </w:rPr>
            </w:pPr>
          </w:p>
        </w:tc>
      </w:tr>
      <w:tr w:rsidR="004868B1" w14:paraId="04FA0775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256DB2ED" w14:textId="77777777" w:rsidR="004868B1" w:rsidRDefault="004868B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7C75FDBE" w14:textId="77777777" w:rsidR="004868B1" w:rsidRDefault="004868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  <w:vAlign w:val="center"/>
          </w:tcPr>
          <w:p w14:paraId="55946572" w14:textId="77777777" w:rsidR="004868B1" w:rsidRDefault="004868B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3" w:type="dxa"/>
            <w:gridSpan w:val="2"/>
            <w:vMerge/>
          </w:tcPr>
          <w:p w14:paraId="3904B755" w14:textId="77777777" w:rsidR="004868B1" w:rsidRDefault="004868B1">
            <w:pPr>
              <w:rPr>
                <w:rFonts w:ascii="Arial" w:hAnsi="Arial" w:cs="Arial"/>
              </w:rPr>
            </w:pPr>
          </w:p>
        </w:tc>
      </w:tr>
      <w:tr w:rsidR="004868B1" w14:paraId="4D216E0E" w14:textId="77777777" w:rsidTr="004E5218">
        <w:trPr>
          <w:cantSplit/>
          <w:trHeight w:val="301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06FCC33D" w14:textId="77777777" w:rsidR="004868B1" w:rsidRDefault="004868B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(specify below)</w:t>
            </w:r>
          </w:p>
          <w:p w14:paraId="29DAA353" w14:textId="77777777" w:rsidR="004868B1" w:rsidRDefault="004868B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3B8686A" w14:textId="77777777" w:rsidR="004868B1" w:rsidRDefault="004868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148A8C5E" w14:textId="77777777" w:rsidR="004868B1" w:rsidRDefault="004868B1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2237AE2B" w14:textId="77777777" w:rsidR="004868B1" w:rsidRDefault="004868B1">
            <w:pPr>
              <w:rPr>
                <w:rFonts w:ascii="Arial" w:hAnsi="Arial" w:cs="Arial"/>
              </w:rPr>
            </w:pPr>
          </w:p>
        </w:tc>
      </w:tr>
      <w:tr w:rsidR="004868B1" w14:paraId="75842ED6" w14:textId="77777777" w:rsidTr="004E52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91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1687DF0A" w14:textId="77777777" w:rsidR="004868B1" w:rsidRPr="004E5218" w:rsidRDefault="004868B1" w:rsidP="001E6973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4E5218">
              <w:rPr>
                <w:rFonts w:ascii="Arial" w:hAnsi="Arial" w:cs="Arial"/>
                <w:b/>
                <w:sz w:val="16"/>
                <w:szCs w:val="16"/>
              </w:rPr>
              <w:t xml:space="preserve">IMPORTANT - This risk assessment should be reviewed every </w:t>
            </w:r>
            <w:r w:rsidR="001E6973">
              <w:rPr>
                <w:rFonts w:ascii="Arial" w:hAnsi="Arial" w:cs="Arial"/>
                <w:b/>
                <w:sz w:val="16"/>
                <w:szCs w:val="16"/>
              </w:rPr>
              <w:t>3 years</w:t>
            </w:r>
            <w:r w:rsidRPr="004E5218">
              <w:rPr>
                <w:rFonts w:ascii="Arial" w:hAnsi="Arial" w:cs="Arial"/>
                <w:b/>
                <w:sz w:val="16"/>
                <w:szCs w:val="16"/>
              </w:rPr>
              <w:t xml:space="preserve">, or whenever there is a significant change in the task or activity and following any accident or incident involving this task or activity. This risk assessment must be retained for a period </w:t>
            </w:r>
            <w:r w:rsidR="00E25F8D">
              <w:rPr>
                <w:rFonts w:ascii="Arial" w:hAnsi="Arial" w:cs="Arial"/>
                <w:b/>
                <w:sz w:val="16"/>
                <w:szCs w:val="16"/>
              </w:rPr>
              <w:t>of 6</w:t>
            </w:r>
            <w:r w:rsidRPr="004E5218">
              <w:rPr>
                <w:rFonts w:ascii="Arial" w:hAnsi="Arial" w:cs="Arial"/>
                <w:b/>
                <w:sz w:val="16"/>
                <w:szCs w:val="16"/>
              </w:rPr>
              <w:t xml:space="preserve"> years.</w:t>
            </w:r>
          </w:p>
        </w:tc>
      </w:tr>
      <w:bookmarkEnd w:id="0"/>
    </w:tbl>
    <w:p w14:paraId="6B05CE63" w14:textId="77777777" w:rsidR="009646CD" w:rsidRDefault="009646CD">
      <w:pPr>
        <w:rPr>
          <w:rFonts w:ascii="Arial" w:hAnsi="Arial" w:cs="Arial"/>
        </w:rPr>
      </w:pPr>
    </w:p>
    <w:sectPr w:rsidR="009646CD" w:rsidSect="004E5218">
      <w:headerReference w:type="default" r:id="rId7"/>
      <w:footerReference w:type="default" r:id="rId8"/>
      <w:pgSz w:w="16838" w:h="11906" w:orient="landscape" w:code="9"/>
      <w:pgMar w:top="540" w:right="638" w:bottom="709" w:left="900" w:header="720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1D670" w14:textId="77777777" w:rsidR="001D456A" w:rsidRDefault="001D456A">
      <w:r>
        <w:separator/>
      </w:r>
    </w:p>
  </w:endnote>
  <w:endnote w:type="continuationSeparator" w:id="0">
    <w:p w14:paraId="63DD534F" w14:textId="77777777" w:rsidR="001D456A" w:rsidRDefault="001D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328E" w14:textId="57394C17" w:rsidR="001E33B8" w:rsidRDefault="00B22E52" w:rsidP="001E33B8">
    <w:pPr>
      <w:pStyle w:val="Foo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HSE/RA/075/01</w:t>
    </w:r>
    <w:r w:rsidR="001E33B8">
      <w:rPr>
        <w:rFonts w:ascii="Arial Black" w:hAnsi="Arial Black"/>
        <w:sz w:val="28"/>
      </w:rPr>
      <w:t xml:space="preserve"> </w:t>
    </w:r>
  </w:p>
  <w:p w14:paraId="26352344" w14:textId="77777777" w:rsidR="009646CD" w:rsidRPr="001E33B8" w:rsidRDefault="009646CD" w:rsidP="001E3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A66D" w14:textId="77777777" w:rsidR="001D456A" w:rsidRDefault="001D456A">
      <w:r>
        <w:separator/>
      </w:r>
    </w:p>
  </w:footnote>
  <w:footnote w:type="continuationSeparator" w:id="0">
    <w:p w14:paraId="2659FD19" w14:textId="77777777" w:rsidR="001D456A" w:rsidRDefault="001D4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721C2" w14:textId="77777777" w:rsidR="009646CD" w:rsidRDefault="0085131F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143F190" wp14:editId="56970856">
          <wp:simplePos x="0" y="0"/>
          <wp:positionH relativeFrom="column">
            <wp:posOffset>-75565</wp:posOffset>
          </wp:positionH>
          <wp:positionV relativeFrom="paragraph">
            <wp:posOffset>-290830</wp:posOffset>
          </wp:positionV>
          <wp:extent cx="1092200" cy="476885"/>
          <wp:effectExtent l="19050" t="0" r="0" b="0"/>
          <wp:wrapThrough wrapText="bothSides">
            <wp:wrapPolygon edited="0">
              <wp:start x="-377" y="0"/>
              <wp:lineTo x="-377" y="20708"/>
              <wp:lineTo x="21474" y="20708"/>
              <wp:lineTo x="21474" y="0"/>
              <wp:lineTo x="-377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46CD">
      <w:rPr>
        <w:rFonts w:ascii="Arial" w:hAnsi="Arial" w:cs="Arial"/>
        <w:b/>
      </w:rPr>
      <w:t>COMPASS GROUP UK &amp; IRELAND</w:t>
    </w:r>
    <w:r w:rsidR="001E56D0">
      <w:rPr>
        <w:rFonts w:ascii="Arial" w:hAnsi="Arial" w:cs="Arial"/>
        <w:b/>
      </w:rPr>
      <w:t xml:space="preserve"> –</w:t>
    </w:r>
    <w:r w:rsidR="000D6BEE">
      <w:rPr>
        <w:rFonts w:ascii="Arial" w:hAnsi="Arial" w:cs="Arial"/>
        <w:b/>
      </w:rPr>
      <w:t xml:space="preserve"> </w:t>
    </w:r>
    <w:r w:rsidR="009646CD">
      <w:rPr>
        <w:rFonts w:ascii="Arial" w:hAnsi="Arial" w:cs="Arial"/>
        <w:b/>
      </w:rPr>
      <w:t>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0652169F"/>
    <w:multiLevelType w:val="hybridMultilevel"/>
    <w:tmpl w:val="074AF0B0"/>
    <w:lvl w:ilvl="0" w:tplc="B9907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9533E87"/>
    <w:multiLevelType w:val="hybridMultilevel"/>
    <w:tmpl w:val="00AE5ABC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C6"/>
    <w:rsid w:val="000207D5"/>
    <w:rsid w:val="000743C6"/>
    <w:rsid w:val="000C73ED"/>
    <w:rsid w:val="000D6BEE"/>
    <w:rsid w:val="001D456A"/>
    <w:rsid w:val="001E33B8"/>
    <w:rsid w:val="001E56D0"/>
    <w:rsid w:val="001E6973"/>
    <w:rsid w:val="00200A6D"/>
    <w:rsid w:val="00273E4E"/>
    <w:rsid w:val="002C0C83"/>
    <w:rsid w:val="003979E7"/>
    <w:rsid w:val="004868B1"/>
    <w:rsid w:val="004E5218"/>
    <w:rsid w:val="00521A96"/>
    <w:rsid w:val="0052496D"/>
    <w:rsid w:val="00715A87"/>
    <w:rsid w:val="00737EBE"/>
    <w:rsid w:val="0085131F"/>
    <w:rsid w:val="008A4048"/>
    <w:rsid w:val="008B00A1"/>
    <w:rsid w:val="009646CD"/>
    <w:rsid w:val="009677A2"/>
    <w:rsid w:val="009846C6"/>
    <w:rsid w:val="00A0399D"/>
    <w:rsid w:val="00A1704E"/>
    <w:rsid w:val="00AB0D7D"/>
    <w:rsid w:val="00B22E52"/>
    <w:rsid w:val="00CD431C"/>
    <w:rsid w:val="00D27B57"/>
    <w:rsid w:val="00D41310"/>
    <w:rsid w:val="00E25F8D"/>
    <w:rsid w:val="00F346A0"/>
    <w:rsid w:val="00FA7F81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50361F"/>
  <w15:docId w15:val="{E7EC5BE6-A2EA-4A66-A034-9850205A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5A8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15A87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715A87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715A87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715A87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715A87"/>
    <w:pPr>
      <w:keepNext/>
      <w:outlineLvl w:val="4"/>
    </w:pPr>
    <w:rPr>
      <w:b/>
      <w:color w:val="FF0000"/>
      <w:sz w:val="16"/>
      <w:szCs w:val="20"/>
    </w:rPr>
  </w:style>
  <w:style w:type="paragraph" w:styleId="Heading6">
    <w:name w:val="heading 6"/>
    <w:basedOn w:val="Normal"/>
    <w:next w:val="Normal"/>
    <w:qFormat/>
    <w:rsid w:val="004868B1"/>
    <w:pPr>
      <w:keepNext/>
      <w:outlineLvl w:val="5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15A87"/>
    <w:pPr>
      <w:jc w:val="center"/>
    </w:pPr>
    <w:rPr>
      <w:b/>
      <w:bCs/>
    </w:rPr>
  </w:style>
  <w:style w:type="paragraph" w:styleId="Header">
    <w:name w:val="header"/>
    <w:basedOn w:val="Normal"/>
    <w:rsid w:val="00715A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15A8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15A87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715A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Jack Roome</cp:lastModifiedBy>
  <cp:revision>3</cp:revision>
  <cp:lastPrinted>2004-01-15T16:34:00Z</cp:lastPrinted>
  <dcterms:created xsi:type="dcterms:W3CDTF">2018-10-17T08:35:00Z</dcterms:created>
  <dcterms:modified xsi:type="dcterms:W3CDTF">2019-11-20T13:17:00Z</dcterms:modified>
</cp:coreProperties>
</file>