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60" w:rsidRDefault="00462D60">
      <w:pPr>
        <w:rPr>
          <w:rFonts w:ascii="Arial" w:hAnsi="Arial" w:cs="Arial"/>
          <w:sz w:val="22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590"/>
        <w:gridCol w:w="1844"/>
        <w:gridCol w:w="1427"/>
        <w:gridCol w:w="1412"/>
        <w:gridCol w:w="6174"/>
        <w:gridCol w:w="63"/>
      </w:tblGrid>
      <w:tr w:rsidR="00A108B2" w:rsidRPr="00943453" w:rsidTr="0082482E">
        <w:trPr>
          <w:gridAfter w:val="1"/>
          <w:wAfter w:w="63" w:type="dxa"/>
          <w:trHeight w:val="737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Floors</w:t>
            </w:r>
          </w:p>
        </w:tc>
        <w:tc>
          <w:tcPr>
            <w:tcW w:w="1590" w:type="dxa"/>
          </w:tcPr>
          <w:p w:rsidR="00A108B2" w:rsidRPr="00943453" w:rsidRDefault="00906B66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</w:p>
        </w:tc>
        <w:tc>
          <w:tcPr>
            <w:tcW w:w="1412" w:type="dxa"/>
            <w:vAlign w:val="center"/>
          </w:tcPr>
          <w:p w:rsidR="00A108B2" w:rsidRPr="00943453" w:rsidRDefault="00A108B2" w:rsidP="00D77C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E05685" w:rsidRPr="00943453" w:rsidRDefault="00E05685" w:rsidP="00D77C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Safety footwear</w:t>
            </w:r>
          </w:p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174" w:type="dxa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Sweep up debris.  Apply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in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hot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water solution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using clean mop or long handle scrubber, paying attention to floor/wall joint, around equipment and under and rear of equipment.  Rinse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with clean water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dry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mop. 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Display hazard signage; allow to dry.</w:t>
            </w:r>
          </w:p>
        </w:tc>
      </w:tr>
      <w:tr w:rsidR="00A108B2" w:rsidRPr="00943453" w:rsidTr="0082482E">
        <w:trPr>
          <w:gridAfter w:val="1"/>
          <w:wAfter w:w="63" w:type="dxa"/>
          <w:trHeight w:val="695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Walls, Doors and Paintwork</w:t>
            </w:r>
          </w:p>
        </w:tc>
        <w:tc>
          <w:tcPr>
            <w:tcW w:w="1590" w:type="dxa"/>
          </w:tcPr>
          <w:p w:rsidR="00A108B2" w:rsidRPr="00943453" w:rsidRDefault="00E05685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 –spot clean</w:t>
            </w:r>
          </w:p>
          <w:p w:rsidR="00E05685" w:rsidRPr="00943453" w:rsidRDefault="00E05685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</w:p>
        </w:tc>
        <w:tc>
          <w:tcPr>
            <w:tcW w:w="1412" w:type="dxa"/>
            <w:vAlign w:val="center"/>
          </w:tcPr>
          <w:p w:rsidR="00A108B2" w:rsidRPr="00943453" w:rsidRDefault="00A108B2" w:rsidP="00D77C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D77CF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58" w:after="58"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174" w:type="dxa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Apply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in hot water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solution with sponge, cloth or hand sprayer.   Work down from higher areas.  Rinse with clean water.  Allow to air dry.</w:t>
            </w:r>
          </w:p>
        </w:tc>
      </w:tr>
      <w:tr w:rsidR="00A108B2" w:rsidRPr="00943453" w:rsidTr="0082482E">
        <w:trPr>
          <w:gridAfter w:val="1"/>
          <w:wAfter w:w="63" w:type="dxa"/>
          <w:trHeight w:val="894"/>
        </w:trPr>
        <w:tc>
          <w:tcPr>
            <w:tcW w:w="2373" w:type="dxa"/>
          </w:tcPr>
          <w:p w:rsidR="00A108B2" w:rsidRPr="00943453" w:rsidRDefault="00E05685" w:rsidP="00E0568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Food Contact</w:t>
            </w:r>
            <w:r w:rsidR="00A108B2" w:rsidRPr="00943453">
              <w:rPr>
                <w:rFonts w:asciiTheme="minorHAnsi" w:hAnsiTheme="minorHAnsi" w:cs="Arial"/>
                <w:b/>
                <w:sz w:val="22"/>
                <w:szCs w:val="22"/>
              </w:rPr>
              <w:t xml:space="preserve"> Surfaces</w:t>
            </w:r>
          </w:p>
        </w:tc>
        <w:tc>
          <w:tcPr>
            <w:tcW w:w="1590" w:type="dxa"/>
          </w:tcPr>
          <w:p w:rsidR="00A108B2" w:rsidRPr="00943453" w:rsidRDefault="00E05685" w:rsidP="00E0568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Before / after use</w:t>
            </w:r>
          </w:p>
          <w:p w:rsidR="00E05685" w:rsidRPr="00943453" w:rsidRDefault="00E05685" w:rsidP="00E05685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F208A3" w:rsidRPr="00943453" w:rsidRDefault="00E05685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</w:t>
            </w:r>
            <w:r w:rsidR="00F208A3"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or Oasis Pro 20</w:t>
            </w:r>
          </w:p>
        </w:tc>
        <w:tc>
          <w:tcPr>
            <w:tcW w:w="1412" w:type="dxa"/>
            <w:vAlign w:val="center"/>
          </w:tcPr>
          <w:p w:rsidR="00A108B2" w:rsidRPr="00943453" w:rsidRDefault="00A108B2" w:rsidP="00D77C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174" w:type="dxa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debris.  Apply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manufacturer’s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 instructions for dilution (30ml per 600ml water) / contact time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(1minute)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with a cloth or hand sprayer. Ensure that attention is given to legs and under edges.  Rinse and allow to air dry or dry with paper towels.</w:t>
            </w:r>
          </w:p>
        </w:tc>
      </w:tr>
      <w:tr w:rsidR="00A108B2" w:rsidRPr="00943453" w:rsidTr="0082482E">
        <w:trPr>
          <w:gridAfter w:val="1"/>
          <w:wAfter w:w="63" w:type="dxa"/>
          <w:trHeight w:val="1699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Cutting Boards</w:t>
            </w:r>
          </w:p>
        </w:tc>
        <w:tc>
          <w:tcPr>
            <w:tcW w:w="1590" w:type="dxa"/>
          </w:tcPr>
          <w:p w:rsidR="00A108B2" w:rsidRPr="00943453" w:rsidRDefault="00F208A3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  <w:p w:rsidR="00F208A3" w:rsidRPr="00943453" w:rsidRDefault="00F208A3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F208A3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  <w:vAlign w:val="center"/>
          </w:tcPr>
          <w:p w:rsidR="00A108B2" w:rsidRPr="00943453" w:rsidRDefault="00A108B2" w:rsidP="00D77C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D77C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174" w:type="dxa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debris.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Apply cleaning product following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manufacturer’s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 xml:space="preserve"> instructions for dilution (30ml per 600ml water) / contact time (1minute) with a cloth or hand sprayer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and scrub.  </w:t>
            </w:r>
            <w:r w:rsidR="00E05685" w:rsidRPr="00943453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inse.  Allow to air dry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 xml:space="preserve"> in board rack avoiding surfaces in contact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Can be routinely washed in dishwasher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bookmarkEnd w:id="0"/>
      <w:tr w:rsidR="00906B66" w:rsidRPr="00A108B2" w:rsidTr="0082482E">
        <w:trPr>
          <w:trHeight w:val="1423"/>
        </w:trPr>
        <w:tc>
          <w:tcPr>
            <w:tcW w:w="2373" w:type="dxa"/>
            <w:vMerge w:val="restart"/>
          </w:tcPr>
          <w:p w:rsidR="00A108B2" w:rsidRPr="00943453" w:rsidRDefault="00384166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="00A108B2" w:rsidRPr="00943453">
              <w:rPr>
                <w:rFonts w:asciiTheme="minorHAnsi" w:hAnsiTheme="minorHAnsi" w:cs="Arial"/>
                <w:b/>
                <w:sz w:val="22"/>
                <w:szCs w:val="22"/>
              </w:rPr>
              <w:t>Refrigerators / Blast Chillers</w:t>
            </w:r>
          </w:p>
        </w:tc>
        <w:tc>
          <w:tcPr>
            <w:tcW w:w="1590" w:type="dxa"/>
          </w:tcPr>
          <w:p w:rsidR="00A108B2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 – spot clean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  <w:r w:rsidR="00A108B2"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943453" w:rsidRPr="00943453" w:rsidRDefault="00F208A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spillage / debris.  Apply cleaning product following manufacturer’s instructions for dilution (30ml per 600ml water) / contact time (1minute) with a cloth or hand sprayer.  Rinse and allow to air dry or dry with paper towels.</w:t>
            </w:r>
          </w:p>
        </w:tc>
      </w:tr>
      <w:tr w:rsidR="00906B66" w:rsidRPr="00A108B2" w:rsidTr="0082482E">
        <w:trPr>
          <w:trHeight w:val="1434"/>
        </w:trPr>
        <w:tc>
          <w:tcPr>
            <w:tcW w:w="2373" w:type="dxa"/>
            <w:vMerge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F208A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943453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Transfer foods to cool place.  Remove shelving and wash 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>following manufacturer’s instructions for dilution (30ml per 600ml water) / contact time (1minute)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interior 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>surfaces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Pay particular attention to base section. 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 xml:space="preserve">Clean door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seals and door handles.  Rinse with clean water.  Replace shelving and foods.</w:t>
            </w:r>
          </w:p>
        </w:tc>
      </w:tr>
      <w:tr w:rsidR="00906B66" w:rsidRPr="00A108B2" w:rsidTr="0082482E">
        <w:trPr>
          <w:trHeight w:val="1268"/>
        </w:trPr>
        <w:tc>
          <w:tcPr>
            <w:tcW w:w="2373" w:type="dxa"/>
            <w:vMerge w:val="restart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Freezers</w:t>
            </w:r>
          </w:p>
        </w:tc>
        <w:tc>
          <w:tcPr>
            <w:tcW w:w="1590" w:type="dxa"/>
          </w:tcPr>
          <w:p w:rsidR="00A108B2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 – spot clean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F208A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F208A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spillage / debris.  Apply cleaning product following manufacturer’s instructions for dilution (30ml per 600ml water) / contact time (1minute) with a cloth or hand sprayer.  Rinse and allow to air dry or dry with paper towels.</w:t>
            </w:r>
          </w:p>
        </w:tc>
      </w:tr>
      <w:tr w:rsidR="00906B66" w:rsidRPr="00A108B2" w:rsidTr="0082482E">
        <w:trPr>
          <w:trHeight w:val="823"/>
        </w:trPr>
        <w:tc>
          <w:tcPr>
            <w:tcW w:w="2373" w:type="dxa"/>
            <w:vMerge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F208A3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Monthly (or more frequently as required)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Oasis Pro 20 and </w:t>
            </w: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contents and store in </w:t>
            </w:r>
            <w:r w:rsidR="00F208A3" w:rsidRPr="00943453">
              <w:rPr>
                <w:rFonts w:asciiTheme="minorHAnsi" w:hAnsiTheme="minorHAnsi" w:cs="Arial"/>
                <w:sz w:val="22"/>
                <w:szCs w:val="22"/>
              </w:rPr>
              <w:t>refrigerator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or alternative freezer.  Turn off power and leave lid or door open [follow manufacturer's instructions if appliance is provided with a defrost facility]. Remove shelves and baskets if fitted and</w:t>
            </w:r>
            <w:r w:rsidR="003E5EEA" w:rsidRPr="00943453">
              <w:rPr>
                <w:rFonts w:asciiTheme="minorHAnsi" w:hAnsiTheme="minorHAnsi" w:cs="Arial"/>
                <w:sz w:val="22"/>
                <w:szCs w:val="22"/>
              </w:rPr>
              <w:t xml:space="preserve"> remove ice with plastic scraper. Apply cleaning product following manufacturer’s instructions for dilution (30ml per 600ml water) / contact time (1minute) with a cloth or hand sprayer.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 Replace shelves and baskets.  Turn appliance back on </w:t>
            </w:r>
            <w:r w:rsidR="006C774C" w:rsidRPr="0094345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C774C" w:rsidRPr="00943453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eplace food when temperature has reduced to </w:t>
            </w:r>
            <w:r w:rsidR="006C774C" w:rsidRPr="00943453">
              <w:rPr>
                <w:rFonts w:asciiTheme="minorHAnsi" w:hAnsiTheme="minorHAnsi" w:cs="Arial"/>
                <w:sz w:val="22"/>
                <w:szCs w:val="22"/>
              </w:rPr>
              <w:t>-18</w:t>
            </w:r>
            <w:r w:rsidR="006C774C" w:rsidRPr="0094345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o</w:t>
            </w:r>
            <w:r w:rsidR="006C774C" w:rsidRPr="00943453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906B66" w:rsidRPr="00A108B2" w:rsidTr="00943453">
        <w:trPr>
          <w:trHeight w:val="1239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Can Opener</w:t>
            </w:r>
          </w:p>
        </w:tc>
        <w:tc>
          <w:tcPr>
            <w:tcW w:w="1590" w:type="dxa"/>
          </w:tcPr>
          <w:p w:rsidR="00A108B2" w:rsidRPr="00943453" w:rsidRDefault="003E5EEA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E5EEA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108B2" w:rsidRPr="00943453" w:rsidRDefault="00A108B2" w:rsidP="003906AB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from bench mounting.  Soak in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cleaning product following manufacturer’s instructions for dilution (30ml per 600ml water) / contact time (1minute)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  Scrub cutter blade and assembly with a brush.  Check for uneven blade wear or loose blade mount.  Scrub the base plate mount at the table.  Rinse and air dry.</w:t>
            </w:r>
          </w:p>
        </w:tc>
      </w:tr>
      <w:tr w:rsidR="00906B66" w:rsidRPr="00A108B2" w:rsidTr="00943453">
        <w:trPr>
          <w:trHeight w:val="2583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Slicer</w:t>
            </w:r>
          </w:p>
          <w:p w:rsidR="003906AB" w:rsidRPr="00943453" w:rsidRDefault="003906AB" w:rsidP="00AF505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3906AB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906AB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3906AB" w:rsidRPr="00943453" w:rsidRDefault="003906AB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Cut resistant gloves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906AB" w:rsidRPr="00943453" w:rsidRDefault="00A108B2" w:rsidP="006C774C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Zero the slice thickness plate.  Remove detachable parts.  Blade must only be removed with the use of the specific blade removing tool.  Soak in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Carefully brush or sponge all parts.  Clean the blade separately.  Rinse, air dry and re-assemble. 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Clean all other parts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with cloth and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</w:t>
            </w:r>
          </w:p>
          <w:p w:rsidR="00A108B2" w:rsidRPr="00943453" w:rsidRDefault="00A108B2" w:rsidP="003906AB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Clean the work surface unde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r the slicer and adjacent walls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Do not re-connect power supply until required for use.  </w:t>
            </w:r>
          </w:p>
        </w:tc>
      </w:tr>
      <w:tr w:rsidR="00906B66" w:rsidRPr="00A108B2" w:rsidTr="00943453">
        <w:trPr>
          <w:trHeight w:val="1260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Mixer</w:t>
            </w:r>
          </w:p>
          <w:p w:rsidR="00943453" w:rsidRPr="00943453" w:rsidRDefault="00943453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3906AB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F208A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906AB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906AB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beater, extension ring and mixing bowl and transfer to pan wash.  Scrub or wipe down mixer thoroughly using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Rinse and air dry.  Clean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surfaces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underneath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appliance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and adjacent walls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C774C" w:rsidRPr="00943453" w:rsidRDefault="00A108B2" w:rsidP="0094345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Do not re-connect power supply until required for use.</w:t>
            </w:r>
          </w:p>
        </w:tc>
      </w:tr>
      <w:tr w:rsidR="00906B66" w:rsidRPr="00A108B2" w:rsidTr="0082482E">
        <w:trPr>
          <w:trHeight w:val="1605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Food Processor</w:t>
            </w:r>
          </w:p>
          <w:p w:rsidR="00943453" w:rsidRPr="00943453" w:rsidRDefault="00943453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3906AB" w:rsidP="003906AB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906AB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3906AB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Detach removable parts, soak and wash in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cleaning product following manufacturer’s instructions for dilution (30ml per 600ml water) / contact time (1minute)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Wash casing.  Rinse and air dry.  Stack cutting blades in the storage rack provided with the appliance after cleaning and sanitising.  Clean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surfaces and adjacent walls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Do not re-connect power supply until required for use.</w:t>
            </w:r>
          </w:p>
        </w:tc>
      </w:tr>
      <w:tr w:rsidR="00906B66" w:rsidRPr="00A108B2" w:rsidTr="0082482E">
        <w:trPr>
          <w:trHeight w:val="2126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Potato Peeler</w:t>
            </w:r>
          </w:p>
        </w:tc>
        <w:tc>
          <w:tcPr>
            <w:tcW w:w="1590" w:type="dxa"/>
          </w:tcPr>
          <w:p w:rsidR="00A108B2" w:rsidRPr="00943453" w:rsidRDefault="00284163" w:rsidP="003906AB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906AB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3906AB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Detach removable parts, soak and wash in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Flush machine through with cold water to remove all peelings and debris.  Remove collecting tray/basket, empty co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>ntents and wash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Thoroughly rinse interior drum and basket surround. Clean external casing.  Rinse all parts thoroughly and re-assemble. Allow to air dry and leave cover off until required for use. Clean underneath and adjacent walls. 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Do not re-connect power supply until required for use.</w:t>
            </w:r>
          </w:p>
        </w:tc>
      </w:tr>
      <w:tr w:rsidR="00906B66" w:rsidRPr="00A108B2" w:rsidTr="0082482E">
        <w:trPr>
          <w:trHeight w:val="1483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Potato Chipper</w:t>
            </w:r>
          </w:p>
        </w:tc>
        <w:tc>
          <w:tcPr>
            <w:tcW w:w="1590" w:type="dxa"/>
          </w:tcPr>
          <w:p w:rsidR="00A108B2" w:rsidRPr="00284163" w:rsidRDefault="00284163" w:rsidP="0028416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3906AB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4935D7" w:rsidRPr="00943453" w:rsidRDefault="004935D7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Cut resistant gloves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4935D7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Detach removable parts, soak and wash in </w:t>
            </w:r>
            <w:r w:rsidR="003906AB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Scrub cutting blades and hopper attachment using hard brush. 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Clean external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casing.  Rinse thoroughly, allow to air dry and re-assemble.  Clean underneath and adjacent walls. </w:t>
            </w:r>
          </w:p>
          <w:p w:rsidR="006C774C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Do not re-connect power supply until required for use.</w:t>
            </w:r>
          </w:p>
        </w:tc>
      </w:tr>
      <w:tr w:rsidR="00906B66" w:rsidRPr="00A108B2" w:rsidTr="0082482E">
        <w:trPr>
          <w:trHeight w:val="1884"/>
        </w:trPr>
        <w:tc>
          <w:tcPr>
            <w:tcW w:w="2373" w:type="dxa"/>
            <w:vMerge w:val="restart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Fryer</w:t>
            </w:r>
          </w:p>
          <w:p w:rsidR="00943453" w:rsidRPr="00943453" w:rsidRDefault="0094345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4935D7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4935D7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Greaselift</w:t>
            </w:r>
            <w:proofErr w:type="spellEnd"/>
          </w:p>
          <w:p w:rsidR="004935D7" w:rsidRPr="00943453" w:rsidRDefault="004935D7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4935D7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Switch off appliance and allow oil to cool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 to 40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o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Remove food particles with fine wire mesh web. 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outside of fryer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using </w:t>
            </w:r>
            <w:proofErr w:type="spellStart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Greaselift</w:t>
            </w:r>
            <w:proofErr w:type="spellEnd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to remove spilt oil.  Wash frying baskets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using Multi EL10 or </w:t>
            </w:r>
            <w:proofErr w:type="spellStart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Greaselift</w:t>
            </w:r>
            <w:proofErr w:type="spellEnd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 if heavily soiled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Dry and replace. 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Top up oil to required level if necessary.</w:t>
            </w:r>
          </w:p>
          <w:p w:rsidR="00943453" w:rsidRP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2965"/>
        </w:trPr>
        <w:tc>
          <w:tcPr>
            <w:tcW w:w="2373" w:type="dxa"/>
            <w:vMerge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4935D7" w:rsidP="004935D7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Multi EL10 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4935D7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Switch off appliance and allow oil to cool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 to 40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o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Drain and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filter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oil into a receptacle. Fill fryer with hot water to level required.  Add </w:t>
            </w:r>
            <w:proofErr w:type="spellStart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Greaselift</w:t>
            </w:r>
            <w:proofErr w:type="spellEnd"/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product.  Soak for 10 to 15 minutes. Submerge all baskets and utensils in solution; soak for 5 to 10 minutes. Remove carbonised deposits from top of fryer with a stiff brush.  </w:t>
            </w:r>
          </w:p>
          <w:p w:rsidR="004935D7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Drain and rinse thoroughly, allow to air dry. 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Re-fill with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>filtered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oil and top up to </w:t>
            </w:r>
            <w:r w:rsidR="004935D7" w:rsidRPr="00943453">
              <w:rPr>
                <w:rFonts w:asciiTheme="minorHAnsi" w:hAnsiTheme="minorHAnsi" w:cs="Arial"/>
                <w:sz w:val="22"/>
                <w:szCs w:val="22"/>
              </w:rPr>
              <w:t xml:space="preserve">required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level. Clean outer casing, lid and surround to drain tap.  Replace lid in position.</w:t>
            </w:r>
          </w:p>
          <w:p w:rsid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943453" w:rsidRP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8A3" w:rsidRPr="00A108B2" w:rsidTr="0082482E">
        <w:trPr>
          <w:trHeight w:val="1317"/>
        </w:trPr>
        <w:tc>
          <w:tcPr>
            <w:tcW w:w="2373" w:type="dxa"/>
            <w:vMerge w:val="restart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Ovens and Grills</w:t>
            </w:r>
          </w:p>
          <w:p w:rsidR="00943453" w:rsidRPr="00943453" w:rsidRDefault="0094345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4935D7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power supply and allow to cool. Wash </w:t>
            </w:r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 xml:space="preserve">all surfaces using Multi EL10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and rinse.  Brush floor under appliance and clean up spillages.</w:t>
            </w:r>
          </w:p>
        </w:tc>
      </w:tr>
      <w:tr w:rsidR="00F535A4" w:rsidRPr="00A108B2" w:rsidTr="0082482E">
        <w:trPr>
          <w:trHeight w:val="2114"/>
        </w:trPr>
        <w:tc>
          <w:tcPr>
            <w:tcW w:w="2373" w:type="dxa"/>
            <w:vMerge/>
          </w:tcPr>
          <w:p w:rsidR="00F535A4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F535A4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F535A4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F535A4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48" w:after="48" w:line="329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Greaselift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</w:tcPr>
          <w:p w:rsidR="00F535A4" w:rsidRPr="00943453" w:rsidRDefault="00F535A4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F535A4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F535A4" w:rsidRPr="00943453" w:rsidRDefault="00F535A4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power supply and allow to cool.  Spray </w:t>
            </w:r>
            <w:proofErr w:type="spellStart"/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Greaselift</w:t>
            </w:r>
            <w:proofErr w:type="spellEnd"/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onto </w:t>
            </w:r>
            <w:r w:rsidRPr="00943453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warm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surfaces and allow contact time of 3-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5 minutes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  Clean all surfaces, starting from the top and working downwards.  Rinse off with water and allow to air dry.</w:t>
            </w:r>
          </w:p>
          <w:p w:rsidR="00F535A4" w:rsidRPr="00943453" w:rsidRDefault="00F535A4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For stubborn soiling, repeat application and use scouring pad or brush.</w:t>
            </w:r>
          </w:p>
        </w:tc>
      </w:tr>
      <w:tr w:rsidR="003E5EEA" w:rsidRPr="00A108B2" w:rsidTr="0082482E">
        <w:trPr>
          <w:trHeight w:val="1384"/>
        </w:trPr>
        <w:tc>
          <w:tcPr>
            <w:tcW w:w="2373" w:type="dxa"/>
            <w:vMerge w:val="restart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 xml:space="preserve">Steamer </w:t>
            </w:r>
          </w:p>
        </w:tc>
        <w:tc>
          <w:tcPr>
            <w:tcW w:w="1590" w:type="dxa"/>
          </w:tcPr>
          <w:p w:rsidR="00A108B2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Greaselift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</w:t>
            </w:r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>power supply and allow to cool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Turn off water supply.  Remove trays and shelving for cleaning in pan wash.  Scrub all surfaces with </w:t>
            </w:r>
            <w:proofErr w:type="spellStart"/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>Greaselift</w:t>
            </w:r>
            <w:proofErr w:type="spellEnd"/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Clean door drip tray </w:t>
            </w:r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>including drainage hole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 Rinse and air dry.  Leave door slightly ajar to ventilate.</w:t>
            </w:r>
          </w:p>
        </w:tc>
      </w:tr>
      <w:tr w:rsidR="003E5EEA" w:rsidRPr="00A108B2" w:rsidTr="0082482E">
        <w:trPr>
          <w:trHeight w:val="721"/>
        </w:trPr>
        <w:tc>
          <w:tcPr>
            <w:tcW w:w="2373" w:type="dxa"/>
            <w:vMerge/>
          </w:tcPr>
          <w:p w:rsidR="00A108B2" w:rsidRPr="00943453" w:rsidRDefault="00A108B2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F535A4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Monthly or as required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Delimer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 60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F535A4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As required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Brush surfaces with descaling solution, rinse with warm water and allow to air dry.</w:t>
            </w:r>
          </w:p>
        </w:tc>
      </w:tr>
      <w:tr w:rsidR="003E5EEA" w:rsidRPr="00A108B2" w:rsidTr="0082482E">
        <w:trPr>
          <w:trHeight w:val="721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Tea/Coffee Boiling Urns</w:t>
            </w:r>
          </w:p>
        </w:tc>
        <w:tc>
          <w:tcPr>
            <w:tcW w:w="1590" w:type="dxa"/>
          </w:tcPr>
          <w:p w:rsidR="00A108B2" w:rsidRPr="00943453" w:rsidRDefault="00F535A4" w:rsidP="001300F3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Monthly</w:t>
            </w:r>
          </w:p>
        </w:tc>
        <w:tc>
          <w:tcPr>
            <w:tcW w:w="1844" w:type="dxa"/>
          </w:tcPr>
          <w:p w:rsidR="00A108B2" w:rsidRPr="00943453" w:rsidRDefault="00A108B2" w:rsidP="001300F3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1300F3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 10</w:t>
            </w:r>
          </w:p>
        </w:tc>
        <w:tc>
          <w:tcPr>
            <w:tcW w:w="1412" w:type="dxa"/>
          </w:tcPr>
          <w:p w:rsidR="00A108B2" w:rsidRPr="00943453" w:rsidRDefault="00A108B2" w:rsidP="001300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Nitrile Latex free Gloves EN374</w:t>
            </w:r>
          </w:p>
          <w:p w:rsidR="00A108B2" w:rsidRPr="00943453" w:rsidRDefault="00A108B2" w:rsidP="001300F3">
            <w:pPr>
              <w:tabs>
                <w:tab w:val="left" w:pos="360"/>
                <w:tab w:val="left" w:pos="1535"/>
                <w:tab w:val="right" w:leader="dot" w:pos="4140"/>
                <w:tab w:val="left" w:pos="4680"/>
                <w:tab w:val="left" w:pos="5850"/>
                <w:tab w:val="left" w:pos="7200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F535A4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power supply and allow to cool. 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Fill with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Multi EL10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 and leave to soak for 10 to 15 minutes.  Scrub out and drain.  Rinse thoroughly and allow to air dry.</w:t>
            </w:r>
          </w:p>
        </w:tc>
      </w:tr>
      <w:tr w:rsidR="00906B66" w:rsidRPr="00A108B2" w:rsidTr="0082482E">
        <w:trPr>
          <w:trHeight w:val="1517"/>
        </w:trPr>
        <w:tc>
          <w:tcPr>
            <w:tcW w:w="2373" w:type="dxa"/>
            <w:vMerge w:val="restart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Bain Marie and Hot Cupboards</w:t>
            </w:r>
          </w:p>
        </w:tc>
        <w:tc>
          <w:tcPr>
            <w:tcW w:w="1590" w:type="dxa"/>
          </w:tcPr>
          <w:p w:rsidR="00A108B2" w:rsidRPr="00943453" w:rsidRDefault="00F535A4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F535A4" w:rsidP="00F535A4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  <w:r w:rsidR="00A108B2"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power supply and allow to cool.  Remove containers and transfer to </w:t>
            </w:r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 xml:space="preserve">dishwasher /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pan wash.  Where a water bath is incorporated, drain to waste and clean out the bath.  </w:t>
            </w:r>
            <w:r w:rsidR="00F535A4" w:rsidRPr="00943453">
              <w:rPr>
                <w:rFonts w:asciiTheme="minorHAnsi" w:hAnsiTheme="minorHAnsi" w:cs="Arial"/>
                <w:sz w:val="22"/>
                <w:szCs w:val="22"/>
              </w:rPr>
              <w:t xml:space="preserve">Clean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all surfaces and rinse.  Remove deposits from door runners with a stiff brush.  Brush floor under appliance and clean spillages.</w:t>
            </w:r>
          </w:p>
        </w:tc>
      </w:tr>
      <w:tr w:rsidR="00906B66" w:rsidRPr="00A108B2" w:rsidTr="0082482E">
        <w:trPr>
          <w:trHeight w:val="1611"/>
        </w:trPr>
        <w:tc>
          <w:tcPr>
            <w:tcW w:w="2373" w:type="dxa"/>
            <w:vMerge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Monthly or as required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EL10</w:t>
            </w:r>
          </w:p>
          <w:p w:rsidR="00A108B2" w:rsidRPr="00943453" w:rsidRDefault="00A108B2" w:rsidP="00B7434D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Delimer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 60 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Dismantle the shelves and doors if detachable.  Scrub all parts with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Multi EL10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, rinse and air dry.  Re-assemble.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TO DESCALE: Brush surfaces with descaling solution, rinse with warm water and allow to air dry.</w:t>
            </w:r>
          </w:p>
        </w:tc>
      </w:tr>
      <w:tr w:rsidR="00906B66" w:rsidRPr="00A108B2" w:rsidTr="0082482E">
        <w:trPr>
          <w:trHeight w:val="1619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Display Cabinet</w:t>
            </w:r>
          </w:p>
        </w:tc>
        <w:tc>
          <w:tcPr>
            <w:tcW w:w="1590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60" w:after="60"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60" w:after="60" w:line="312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60" w:after="60" w:line="312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12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all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food items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Carefully remove doors and take out detachable shelving.  Remove all food particles. 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Clean using Multi EL10,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rinse and air dry.  Replace doors and shelving but leave doors open to assist in air drying, until next use.</w:t>
            </w:r>
          </w:p>
        </w:tc>
      </w:tr>
      <w:tr w:rsidR="00906B66" w:rsidRPr="00A108B2" w:rsidTr="0082482E">
        <w:trPr>
          <w:trHeight w:val="1226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Microwave Oven</w:t>
            </w:r>
          </w:p>
          <w:p w:rsidR="00943453" w:rsidRPr="00943453" w:rsidRDefault="0094345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B7434D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turn-table plate [if applicable] and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 xml:space="preserve">wash in cleaning product following manufacturer’s instructions for dilution (30ml per 600ml water) / contact time (1minute). 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interior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 xml:space="preserve"> surfaces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, paying particular attention to the top surface and to the corner joins. 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exterior casing and door.  Rinse and allow to air dry.  Leave door slightly ajar until next use.</w:t>
            </w:r>
          </w:p>
        </w:tc>
      </w:tr>
      <w:tr w:rsidR="00906B66" w:rsidRPr="00A108B2" w:rsidTr="0082482E">
        <w:trPr>
          <w:trHeight w:val="2152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Sinks and Wash Hand Basins</w:t>
            </w:r>
          </w:p>
        </w:tc>
        <w:tc>
          <w:tcPr>
            <w:tcW w:w="1590" w:type="dxa"/>
          </w:tcPr>
          <w:p w:rsidR="00A108B2" w:rsidRPr="00943453" w:rsidRDefault="00B7434D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 or after use</w:t>
            </w:r>
          </w:p>
        </w:tc>
        <w:tc>
          <w:tcPr>
            <w:tcW w:w="1844" w:type="dxa"/>
          </w:tcPr>
          <w:p w:rsidR="00A108B2" w:rsidRPr="00943453" w:rsidRDefault="00A108B2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B7434D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5E7AED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Clean with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cleaning product following manufacturer’s instructions for dilution (30ml per 600ml water) / contact time (1minute)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 Remove tide marks from the bowl and drainer with a scouring pad or cloth. 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taps, waste outlets and splash-backs. Rinse all surfaces and air dry.</w:t>
            </w:r>
          </w:p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Ensure supply of towels and soap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is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available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at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>hand wash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basin.</w:t>
            </w:r>
          </w:p>
          <w:p w:rsidR="00943453" w:rsidRPr="00943453" w:rsidRDefault="00943453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1619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Waste disposal unit</w:t>
            </w:r>
          </w:p>
          <w:p w:rsidR="00943453" w:rsidRPr="00943453" w:rsidRDefault="00943453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A108B2" w:rsidRPr="00943453" w:rsidRDefault="00B7434D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1300F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B7434D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B7434D" w:rsidRPr="00943453" w:rsidRDefault="00B7434D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Switch off power supply. 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Disconnect the baffle plate [restrictor plate] and remove if possible.  Remove strainer if fitted and clean.  Remove solid waste from machine and scrub all parts.  </w:t>
            </w:r>
            <w:r w:rsidR="00A108B2" w:rsidRPr="00943453">
              <w:rPr>
                <w:rFonts w:asciiTheme="minorHAnsi" w:hAnsiTheme="minorHAnsi" w:cs="Arial"/>
                <w:b/>
                <w:sz w:val="22"/>
                <w:szCs w:val="22"/>
              </w:rPr>
              <w:t>Do not access the blades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.  Clean exterior casing and adjacent wall surfaces.  Re-assemble, re-connect power supply and operate water supply only, for one minute.  </w:t>
            </w:r>
          </w:p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Switch off and isolate from power supply until next required for use.</w:t>
            </w:r>
          </w:p>
        </w:tc>
      </w:tr>
      <w:tr w:rsidR="00906B66" w:rsidRPr="00A108B2" w:rsidTr="0082482E">
        <w:trPr>
          <w:trHeight w:val="1228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Waste Bins</w:t>
            </w:r>
          </w:p>
        </w:tc>
        <w:tc>
          <w:tcPr>
            <w:tcW w:w="1590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A108B2" w:rsidRPr="00943453" w:rsidRDefault="00A108B2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B7434D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3D0EB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ind w:right="-108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Empty bins 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regularly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throughout the day.  Do not allow contents to overflow.  Wash out empty bin or bin liner holder with </w:t>
            </w:r>
            <w:r w:rsidR="00B7434D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(1minute).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Clean external casing and the lid, paying attention to </w:t>
            </w:r>
            <w:r w:rsidR="00906B66" w:rsidRPr="00943453">
              <w:rPr>
                <w:rFonts w:asciiTheme="minorHAnsi" w:hAnsiTheme="minorHAnsi" w:cs="Arial"/>
                <w:sz w:val="22"/>
                <w:szCs w:val="22"/>
              </w:rPr>
              <w:t>underside of lid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.  Rinse and allow to air dry.</w:t>
            </w:r>
          </w:p>
        </w:tc>
      </w:tr>
      <w:tr w:rsidR="00C9408F" w:rsidRPr="00A108B2" w:rsidTr="0082482E">
        <w:trPr>
          <w:trHeight w:val="1256"/>
        </w:trPr>
        <w:tc>
          <w:tcPr>
            <w:tcW w:w="2373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Equipment Racks and Shelving</w:t>
            </w:r>
          </w:p>
        </w:tc>
        <w:tc>
          <w:tcPr>
            <w:tcW w:w="1590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C9408F" w:rsidRPr="00943453" w:rsidRDefault="00C9408F" w:rsidP="00C94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C9408F" w:rsidRPr="00943453" w:rsidRDefault="00C9408F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C9408F" w:rsidRPr="00943453" w:rsidRDefault="00C9408F" w:rsidP="003D0EB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stock and utensils/equipment from shelves and racking.  Sweep debris off surfaces and sweep floor under.  Clean with cleaning product following manufacturer’s instructions for dilution (30ml per 600ml water) / contact time (1minute), rinse and allow to air dry.  Replace stock and utensils/equipment.  </w:t>
            </w:r>
          </w:p>
        </w:tc>
      </w:tr>
      <w:tr w:rsidR="00C9408F" w:rsidRPr="00A108B2" w:rsidTr="0082482E">
        <w:trPr>
          <w:trHeight w:val="896"/>
        </w:trPr>
        <w:tc>
          <w:tcPr>
            <w:tcW w:w="2373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Dining Room Tables and Chairs</w:t>
            </w:r>
          </w:p>
        </w:tc>
        <w:tc>
          <w:tcPr>
            <w:tcW w:w="1590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C9408F" w:rsidRPr="00943453" w:rsidRDefault="00C9408F" w:rsidP="00C94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C9408F" w:rsidRPr="00943453" w:rsidRDefault="00C9408F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C9408F" w:rsidRPr="00943453" w:rsidRDefault="00C9408F" w:rsidP="003D0EB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Clean with sponge, cloth or hand sprayer.  Wipe down table tops, edges, under-edges, seats and chair legs.  </w:t>
            </w:r>
          </w:p>
        </w:tc>
      </w:tr>
      <w:tr w:rsidR="00C9408F" w:rsidRPr="00A108B2" w:rsidTr="0082482E">
        <w:trPr>
          <w:trHeight w:val="1063"/>
        </w:trPr>
        <w:tc>
          <w:tcPr>
            <w:tcW w:w="2373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Vending Machines</w:t>
            </w:r>
          </w:p>
          <w:p w:rsidR="00C9408F" w:rsidRPr="00943453" w:rsidRDefault="00C9408F" w:rsidP="00AF505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Refer to manufacturer's instructions for detailed cleaning information </w:t>
            </w:r>
          </w:p>
        </w:tc>
        <w:tc>
          <w:tcPr>
            <w:tcW w:w="1590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C9408F" w:rsidRPr="00943453" w:rsidRDefault="00C9408F" w:rsidP="00CA6A38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C9408F" w:rsidRPr="00943453" w:rsidRDefault="00C9408F" w:rsidP="00C94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C9408F" w:rsidRPr="00943453" w:rsidRDefault="00C9408F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C9408F" w:rsidRPr="00943453" w:rsidRDefault="00C9408F" w:rsidP="003D0EB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spillage / debris.  Apply cleaning product following manufacturer’s instructions for dilution (30ml per 600ml water) / contact time (1minute) with a cloth or hand sprayer.  Rinse and allow to air dry or dry with paper towels.</w:t>
            </w:r>
          </w:p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Complete the Vending cleaning record card.</w:t>
            </w:r>
          </w:p>
        </w:tc>
      </w:tr>
      <w:tr w:rsidR="00906B66" w:rsidRPr="00A108B2" w:rsidTr="0082482E">
        <w:trPr>
          <w:trHeight w:val="1211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Temperature Probes</w:t>
            </w:r>
          </w:p>
        </w:tc>
        <w:tc>
          <w:tcPr>
            <w:tcW w:w="1590" w:type="dxa"/>
          </w:tcPr>
          <w:p w:rsidR="00A108B2" w:rsidRPr="00943453" w:rsidRDefault="00AF505E" w:rsidP="00AF505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Before/ after use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F505E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EcoBac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wipes</w:t>
            </w:r>
          </w:p>
        </w:tc>
        <w:tc>
          <w:tcPr>
            <w:tcW w:w="1412" w:type="dxa"/>
          </w:tcPr>
          <w:p w:rsidR="00A108B2" w:rsidRPr="00943453" w:rsidRDefault="00A108B2" w:rsidP="00AF505E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debris.  </w:t>
            </w:r>
            <w:r w:rsidR="00AF505E" w:rsidRPr="00943453">
              <w:rPr>
                <w:rFonts w:asciiTheme="minorHAnsi" w:hAnsiTheme="minorHAnsi" w:cs="Arial"/>
                <w:sz w:val="22"/>
                <w:szCs w:val="22"/>
              </w:rPr>
              <w:t>Wipe thermometer / probe with wipe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Trolley &amp; wheels</w:t>
            </w:r>
          </w:p>
        </w:tc>
        <w:tc>
          <w:tcPr>
            <w:tcW w:w="1590" w:type="dxa"/>
          </w:tcPr>
          <w:p w:rsidR="00A108B2" w:rsidRPr="00943453" w:rsidRDefault="00AF505E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 EL 10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debris.  Apply </w:t>
            </w:r>
            <w:r w:rsidR="00AF505E" w:rsidRPr="00943453">
              <w:rPr>
                <w:rFonts w:asciiTheme="minorHAnsi" w:hAnsiTheme="minorHAnsi" w:cs="Arial"/>
                <w:sz w:val="22"/>
                <w:szCs w:val="22"/>
              </w:rPr>
              <w:t>Multi EL10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with a cloth or hand sprayer. Ensure that attention is given to handles, legs, wheels and under edges.  Rinse and allow to air dry or dry with paper towels.</w:t>
            </w:r>
          </w:p>
        </w:tc>
      </w:tr>
      <w:tr w:rsidR="00906B66" w:rsidRPr="00A108B2" w:rsidTr="0082482E">
        <w:trPr>
          <w:trHeight w:val="1317"/>
        </w:trPr>
        <w:tc>
          <w:tcPr>
            <w:tcW w:w="2373" w:type="dxa"/>
          </w:tcPr>
          <w:p w:rsidR="00A108B2" w:rsidRPr="00943453" w:rsidRDefault="00AF505E" w:rsidP="00AF505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Bulk</w:t>
            </w:r>
            <w:r w:rsidR="00A108B2" w:rsidRPr="00943453">
              <w:rPr>
                <w:rFonts w:asciiTheme="minorHAnsi" w:hAnsiTheme="minorHAnsi" w:cs="Arial"/>
                <w:b/>
                <w:sz w:val="22"/>
                <w:szCs w:val="22"/>
              </w:rPr>
              <w:t xml:space="preserve"> Storage Bins</w:t>
            </w:r>
          </w:p>
        </w:tc>
        <w:tc>
          <w:tcPr>
            <w:tcW w:w="1590" w:type="dxa"/>
          </w:tcPr>
          <w:p w:rsidR="00A108B2" w:rsidRPr="00943453" w:rsidRDefault="00AF505E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Oasis Pro 20 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F505E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food product. Wash out empty bin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.  Clean external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surfaces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 and lid, paying attention to underside of lid and the handle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 [if fitted].  Rinse and allow to air dry. Ensure scoop is cleaned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daily</w:t>
            </w:r>
            <w:r w:rsidR="00A108B2" w:rsidRPr="00943453">
              <w:rPr>
                <w:rFonts w:asciiTheme="minorHAnsi" w:hAnsiTheme="minorHAnsi" w:cs="Arial"/>
                <w:sz w:val="22"/>
                <w:szCs w:val="22"/>
              </w:rPr>
              <w:t xml:space="preserve"> &amp; stored outside the container. </w:t>
            </w:r>
          </w:p>
          <w:p w:rsidR="00943453" w:rsidRP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408F" w:rsidRPr="00A108B2" w:rsidTr="0082482E">
        <w:trPr>
          <w:trHeight w:val="1212"/>
        </w:trPr>
        <w:tc>
          <w:tcPr>
            <w:tcW w:w="2373" w:type="dxa"/>
          </w:tcPr>
          <w:p w:rsidR="00C9408F" w:rsidRPr="00943453" w:rsidRDefault="00C9408F" w:rsidP="00E933F0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Paper Towel &amp; Soap Dispensers</w:t>
            </w:r>
          </w:p>
        </w:tc>
        <w:tc>
          <w:tcPr>
            <w:tcW w:w="1590" w:type="dxa"/>
          </w:tcPr>
          <w:p w:rsidR="00C9408F" w:rsidRPr="00943453" w:rsidRDefault="00C9408F" w:rsidP="00AF505E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C9408F" w:rsidRPr="00943453" w:rsidRDefault="00C9408F" w:rsidP="00F22E3C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C9408F" w:rsidRPr="00943453" w:rsidRDefault="00C9408F" w:rsidP="00C94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C9408F" w:rsidRPr="00943453" w:rsidRDefault="00C9408F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C9408F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debris.  Apply cleaning product following manufacturer’s instructions for dilution (30ml per 600ml water) / contact time (1minute) with a cloth or hand sprayer. Rinse and allow to air dry or dry with paper towels.</w:t>
            </w:r>
          </w:p>
        </w:tc>
      </w:tr>
      <w:tr w:rsidR="00C9408F" w:rsidRPr="00A108B2" w:rsidTr="0082482E">
        <w:trPr>
          <w:trHeight w:val="1212"/>
        </w:trPr>
        <w:tc>
          <w:tcPr>
            <w:tcW w:w="2373" w:type="dxa"/>
          </w:tcPr>
          <w:p w:rsidR="00C9408F" w:rsidRPr="00943453" w:rsidRDefault="00C9408F" w:rsidP="00C9408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Food wrap Dispensers</w:t>
            </w:r>
          </w:p>
        </w:tc>
        <w:tc>
          <w:tcPr>
            <w:tcW w:w="1590" w:type="dxa"/>
          </w:tcPr>
          <w:p w:rsidR="00C9408F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</w:t>
            </w:r>
          </w:p>
        </w:tc>
        <w:tc>
          <w:tcPr>
            <w:tcW w:w="1844" w:type="dxa"/>
          </w:tcPr>
          <w:p w:rsidR="00C9408F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C9408F" w:rsidRPr="00943453" w:rsidRDefault="00C9408F" w:rsidP="00C94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C9408F" w:rsidRPr="00943453" w:rsidRDefault="00C9408F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C9408F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Remove debris.  Apply cleaning product following manufacturer’s instructions for dilution (30ml per 600ml water) / contact time (1minute) with a cloth or hand sprayer. Rinse and allow to air dry or dry with paper towels.</w:t>
            </w:r>
          </w:p>
        </w:tc>
      </w:tr>
      <w:tr w:rsidR="00906B66" w:rsidRPr="00A108B2" w:rsidTr="0082482E">
        <w:trPr>
          <w:trHeight w:val="906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PPE</w:t>
            </w:r>
            <w:r w:rsidR="00C9408F" w:rsidRPr="00943453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safety goggles</w:t>
            </w:r>
          </w:p>
        </w:tc>
        <w:tc>
          <w:tcPr>
            <w:tcW w:w="1590" w:type="dxa"/>
          </w:tcPr>
          <w:p w:rsidR="00A108B2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After use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C9408F" w:rsidP="00C9408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Remove debris.  Apply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 xml:space="preserve">cleaning product following manufacturer’s instructions for dilution (30ml per 600ml water) / contact time (1minute) 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>with a cloth or hand spray.  Rinse and allow to air dry or dry with paper towels.</w:t>
            </w:r>
          </w:p>
          <w:p w:rsid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943453" w:rsidRPr="00943453" w:rsidRDefault="00943453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1132"/>
        </w:trPr>
        <w:tc>
          <w:tcPr>
            <w:tcW w:w="2373" w:type="dxa"/>
          </w:tcPr>
          <w:p w:rsidR="00A108B2" w:rsidRPr="00943453" w:rsidRDefault="00A108B2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Ice Machine</w:t>
            </w:r>
          </w:p>
          <w:p w:rsidR="00943453" w:rsidRPr="00943453" w:rsidRDefault="00943453" w:rsidP="00CA6A38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C9408F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  <w:r w:rsidR="00C9408F"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EL75 or</w:t>
            </w: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Oasis Pro 20 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C9408F" w:rsidRPr="00943453" w:rsidRDefault="00A108B2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Turn off unit &amp; disconnect power supply.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Remove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remaining ice/ water in the storage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cabinet and discard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Apply cleaning product following manufacturer’s instructions for dilution (30ml per 600ml water) / contact time (1minute)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Clean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external surface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9408F" w:rsidRPr="00943453">
              <w:rPr>
                <w:rFonts w:asciiTheme="minorHAnsi" w:hAnsiTheme="minorHAnsi" w:cs="Arial"/>
                <w:sz w:val="22"/>
                <w:szCs w:val="22"/>
              </w:rPr>
              <w:t>Rinse and allow to air dry or dry with paper towels.</w:t>
            </w:r>
          </w:p>
          <w:p w:rsidR="00C9408F" w:rsidRPr="00943453" w:rsidRDefault="00C9408F" w:rsidP="0082482E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823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Milk Dispenser</w:t>
            </w:r>
          </w:p>
        </w:tc>
        <w:tc>
          <w:tcPr>
            <w:tcW w:w="1590" w:type="dxa"/>
          </w:tcPr>
          <w:p w:rsidR="00A108B2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Weekly</w:t>
            </w:r>
          </w:p>
        </w:tc>
        <w:tc>
          <w:tcPr>
            <w:tcW w:w="1844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proofErr w:type="spellStart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>Aseptopol</w:t>
            </w:r>
            <w:proofErr w:type="spellEnd"/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EL75 or Oasis Pro 20</w:t>
            </w:r>
          </w:p>
        </w:tc>
        <w:tc>
          <w:tcPr>
            <w:tcW w:w="1412" w:type="dxa"/>
          </w:tcPr>
          <w:p w:rsidR="00A108B2" w:rsidRPr="00943453" w:rsidRDefault="00A108B2" w:rsidP="00CA77AA">
            <w:pPr>
              <w:rPr>
                <w:rFonts w:asciiTheme="minorHAnsi" w:hAnsiTheme="minorHAnsi"/>
                <w:sz w:val="22"/>
                <w:szCs w:val="22"/>
              </w:rPr>
            </w:pPr>
            <w:r w:rsidRPr="00943453">
              <w:rPr>
                <w:rFonts w:asciiTheme="minorHAnsi" w:hAnsiTheme="minorHAnsi"/>
                <w:sz w:val="22"/>
                <w:szCs w:val="22"/>
              </w:rPr>
              <w:t>Nitrile/Latex-free Gloves EN374</w:t>
            </w:r>
          </w:p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288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C9408F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Turn off unit &amp; disconnect power supply. Remove milk container and refrigerate. Apply cleaning product following manufacturer’s instructions for dilution (30ml per 600ml water) / contact time (1minute). Clean external surfaces including door seals. Rinse and allow to air dry or dry with paper towels</w:t>
            </w:r>
            <w:r w:rsidR="00943453" w:rsidRPr="0094345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943453" w:rsidRPr="00943453" w:rsidRDefault="0094345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Coffee Machines</w:t>
            </w:r>
          </w:p>
          <w:p w:rsidR="00C9408F" w:rsidRPr="00943453" w:rsidRDefault="00C9408F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>Refer to manufacturer's instructions for detailed cleaning information.</w:t>
            </w:r>
          </w:p>
        </w:tc>
        <w:tc>
          <w:tcPr>
            <w:tcW w:w="1590" w:type="dxa"/>
          </w:tcPr>
          <w:p w:rsidR="00A108B2" w:rsidRPr="00943453" w:rsidRDefault="00C9408F" w:rsidP="00F938E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Daily / Weekly</w:t>
            </w:r>
          </w:p>
        </w:tc>
        <w:tc>
          <w:tcPr>
            <w:tcW w:w="1844" w:type="dxa"/>
          </w:tcPr>
          <w:p w:rsidR="00A108B2" w:rsidRPr="00943453" w:rsidRDefault="00A108B2" w:rsidP="00F938E3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427" w:type="dxa"/>
          </w:tcPr>
          <w:p w:rsidR="00A108B2" w:rsidRPr="00943453" w:rsidRDefault="00A108B2" w:rsidP="00F938E3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Various depending on machine. </w:t>
            </w:r>
          </w:p>
        </w:tc>
        <w:tc>
          <w:tcPr>
            <w:tcW w:w="1412" w:type="dxa"/>
          </w:tcPr>
          <w:p w:rsidR="00A108B2" w:rsidRPr="00943453" w:rsidRDefault="00A108B2" w:rsidP="00906B6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:rsidR="00A108B2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Follow </w:t>
            </w:r>
            <w:proofErr w:type="spellStart"/>
            <w:r w:rsidRPr="00943453">
              <w:rPr>
                <w:rFonts w:asciiTheme="minorHAnsi" w:hAnsiTheme="minorHAnsi" w:cs="Arial"/>
                <w:sz w:val="22"/>
                <w:szCs w:val="22"/>
              </w:rPr>
              <w:t>Manufacturers</w:t>
            </w:r>
            <w:proofErr w:type="spellEnd"/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instructions and use only prescribed cleaning chemicals in correct quantity. Ensure prescribed PPE is worn when handling. Ensure </w:t>
            </w:r>
            <w:r w:rsidRPr="00943453">
              <w:rPr>
                <w:rFonts w:asciiTheme="minorHAnsi" w:hAnsiTheme="minorHAnsi" w:cs="Arial"/>
                <w:b/>
                <w:sz w:val="22"/>
                <w:szCs w:val="22"/>
              </w:rPr>
              <w:t>“Do Not Operate - Cleaning in Progress”</w:t>
            </w:r>
            <w:r w:rsidRPr="00943453">
              <w:rPr>
                <w:rFonts w:asciiTheme="minorHAnsi" w:hAnsiTheme="minorHAnsi" w:cs="Arial"/>
                <w:sz w:val="22"/>
                <w:szCs w:val="22"/>
              </w:rPr>
              <w:t xml:space="preserve"> sign is put in place during cleaning. </w:t>
            </w:r>
          </w:p>
          <w:p w:rsidR="00943453" w:rsidRDefault="0094345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943453" w:rsidRDefault="0094345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943453" w:rsidRPr="00943453" w:rsidRDefault="00943453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440ACA" w:rsidRDefault="00440ACA" w:rsidP="00440AC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40AC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Add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any additional equipment / cleaning tasks below. </w:t>
            </w: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06B66" w:rsidRPr="00A108B2" w:rsidTr="0082482E">
        <w:trPr>
          <w:trHeight w:val="1212"/>
        </w:trPr>
        <w:tc>
          <w:tcPr>
            <w:tcW w:w="2373" w:type="dxa"/>
          </w:tcPr>
          <w:p w:rsidR="00A108B2" w:rsidRPr="00943453" w:rsidRDefault="00A108B2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A108B2" w:rsidRPr="00943453" w:rsidRDefault="00A108B2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A108B2" w:rsidRPr="00943453" w:rsidRDefault="00A108B2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440ACA" w:rsidRPr="00A108B2" w:rsidTr="0082482E">
        <w:trPr>
          <w:trHeight w:val="1212"/>
        </w:trPr>
        <w:tc>
          <w:tcPr>
            <w:tcW w:w="2373" w:type="dxa"/>
          </w:tcPr>
          <w:p w:rsidR="00440ACA" w:rsidRPr="00943453" w:rsidRDefault="00440ACA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440ACA" w:rsidRPr="00943453" w:rsidRDefault="00440ACA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440ACA" w:rsidRPr="00A108B2" w:rsidTr="0082482E">
        <w:trPr>
          <w:trHeight w:val="1212"/>
        </w:trPr>
        <w:tc>
          <w:tcPr>
            <w:tcW w:w="2373" w:type="dxa"/>
          </w:tcPr>
          <w:p w:rsidR="00440ACA" w:rsidRPr="00943453" w:rsidRDefault="00440ACA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440ACA" w:rsidRPr="00943453" w:rsidRDefault="00440ACA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440ACA" w:rsidRPr="00A108B2" w:rsidTr="0082482E">
        <w:trPr>
          <w:trHeight w:val="1212"/>
        </w:trPr>
        <w:tc>
          <w:tcPr>
            <w:tcW w:w="2373" w:type="dxa"/>
          </w:tcPr>
          <w:p w:rsidR="00440ACA" w:rsidRPr="00943453" w:rsidRDefault="00440ACA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440ACA" w:rsidRPr="00943453" w:rsidRDefault="00440ACA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440ACA" w:rsidRPr="00A108B2" w:rsidTr="0082482E">
        <w:trPr>
          <w:trHeight w:val="1212"/>
        </w:trPr>
        <w:tc>
          <w:tcPr>
            <w:tcW w:w="2373" w:type="dxa"/>
          </w:tcPr>
          <w:p w:rsidR="00440ACA" w:rsidRPr="00943453" w:rsidRDefault="00440ACA" w:rsidP="00747242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before="120" w:after="120" w:line="33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440ACA" w:rsidRPr="00943453" w:rsidRDefault="00440ACA" w:rsidP="00747242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440ACA" w:rsidRPr="00943453" w:rsidRDefault="00440ACA" w:rsidP="0082482E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</w:tbl>
    <w:p w:rsidR="00C429A7" w:rsidRPr="009246F7" w:rsidRDefault="00C429A7" w:rsidP="00943453">
      <w:pPr>
        <w:jc w:val="center"/>
        <w:rPr>
          <w:rFonts w:ascii="Arial" w:hAnsi="Arial" w:cs="Arial"/>
          <w:b/>
          <w:sz w:val="22"/>
        </w:rPr>
      </w:pPr>
    </w:p>
    <w:sectPr w:rsidR="00C429A7" w:rsidRPr="009246F7" w:rsidSect="006C774C">
      <w:headerReference w:type="default" r:id="rId8"/>
      <w:footerReference w:type="default" r:id="rId9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27" w:rsidRDefault="00557D27">
      <w:r>
        <w:separator/>
      </w:r>
    </w:p>
  </w:endnote>
  <w:endnote w:type="continuationSeparator" w:id="0">
    <w:p w:rsidR="00557D27" w:rsidRDefault="005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4D" w:rsidRPr="006C774C" w:rsidRDefault="00B7434D" w:rsidP="00B22606">
    <w:pPr>
      <w:pStyle w:val="Footer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0"/>
      </w:rPr>
      <w:t xml:space="preserve">     </w:t>
    </w:r>
    <w:r w:rsidRPr="006C774C">
      <w:rPr>
        <w:rFonts w:ascii="Arial" w:hAnsi="Arial" w:cs="Arial"/>
        <w:b/>
        <w:sz w:val="16"/>
        <w:szCs w:val="16"/>
      </w:rPr>
      <w:t>SAFETY PRECAUTIONS</w:t>
    </w:r>
  </w:p>
  <w:p w:rsidR="00B7434D" w:rsidRPr="006C774C" w:rsidRDefault="00B7434D" w:rsidP="00B22606">
    <w:pPr>
      <w:pStyle w:val="Footer"/>
      <w:numPr>
        <w:ilvl w:val="0"/>
        <w:numId w:val="2"/>
      </w:numPr>
      <w:jc w:val="both"/>
      <w:rPr>
        <w:rFonts w:ascii="Arial" w:hAnsi="Arial" w:cs="Arial"/>
        <w:b/>
        <w:sz w:val="16"/>
        <w:szCs w:val="16"/>
      </w:rPr>
    </w:pPr>
    <w:r w:rsidRPr="006C774C">
      <w:rPr>
        <w:rFonts w:ascii="Arial" w:hAnsi="Arial" w:cs="Arial"/>
        <w:b/>
        <w:sz w:val="16"/>
        <w:szCs w:val="16"/>
      </w:rPr>
      <w:t xml:space="preserve">Before cleaning electrical </w:t>
    </w:r>
    <w:r w:rsidR="00440ACA">
      <w:rPr>
        <w:rFonts w:ascii="Arial" w:hAnsi="Arial" w:cs="Arial"/>
        <w:b/>
        <w:sz w:val="16"/>
        <w:szCs w:val="16"/>
      </w:rPr>
      <w:t>appliances</w:t>
    </w:r>
    <w:r w:rsidRPr="006C774C">
      <w:rPr>
        <w:rFonts w:ascii="Arial" w:hAnsi="Arial" w:cs="Arial"/>
        <w:b/>
        <w:sz w:val="16"/>
        <w:szCs w:val="16"/>
      </w:rPr>
      <w:t xml:space="preserve"> ensure it is switched off and isolated from the mains.</w:t>
    </w:r>
  </w:p>
  <w:p w:rsidR="00B7434D" w:rsidRPr="006C774C" w:rsidRDefault="00B7434D" w:rsidP="008C4F9B">
    <w:pPr>
      <w:pStyle w:val="Footer"/>
      <w:numPr>
        <w:ilvl w:val="0"/>
        <w:numId w:val="2"/>
      </w:numPr>
      <w:rPr>
        <w:rFonts w:ascii="Arial" w:hAnsi="Arial" w:cs="Arial"/>
        <w:b/>
        <w:sz w:val="16"/>
        <w:szCs w:val="16"/>
      </w:rPr>
    </w:pPr>
    <w:r w:rsidRPr="006C774C">
      <w:rPr>
        <w:rFonts w:ascii="Arial" w:hAnsi="Arial" w:cs="Arial"/>
        <w:b/>
        <w:sz w:val="16"/>
        <w:szCs w:val="16"/>
      </w:rPr>
      <w:t xml:space="preserve">Before cleaning gas appliances ensure </w:t>
    </w:r>
    <w:r w:rsidR="00440ACA">
      <w:rPr>
        <w:rFonts w:ascii="Arial" w:hAnsi="Arial" w:cs="Arial"/>
        <w:b/>
        <w:sz w:val="16"/>
        <w:szCs w:val="16"/>
      </w:rPr>
      <w:t>it is</w:t>
    </w:r>
    <w:r w:rsidRPr="006C774C">
      <w:rPr>
        <w:rFonts w:ascii="Arial" w:hAnsi="Arial" w:cs="Arial"/>
        <w:b/>
        <w:sz w:val="16"/>
        <w:szCs w:val="16"/>
      </w:rPr>
      <w:t xml:space="preserve"> turned off. Take care when cleaning hot items.</w:t>
    </w:r>
  </w:p>
  <w:p w:rsidR="00B7434D" w:rsidRPr="006C774C" w:rsidRDefault="00B7434D" w:rsidP="00B22606">
    <w:pPr>
      <w:pStyle w:val="Footer"/>
      <w:numPr>
        <w:ilvl w:val="0"/>
        <w:numId w:val="2"/>
      </w:numPr>
      <w:rPr>
        <w:rFonts w:ascii="Arial" w:hAnsi="Arial" w:cs="Arial"/>
        <w:b/>
        <w:sz w:val="16"/>
        <w:szCs w:val="16"/>
      </w:rPr>
    </w:pPr>
    <w:r w:rsidRPr="006C774C">
      <w:rPr>
        <w:rFonts w:ascii="Arial" w:hAnsi="Arial" w:cs="Arial"/>
        <w:b/>
        <w:sz w:val="16"/>
        <w:szCs w:val="16"/>
      </w:rPr>
      <w:t xml:space="preserve">Follow all safety precautions </w:t>
    </w:r>
    <w:r w:rsidR="00440ACA">
      <w:rPr>
        <w:rFonts w:ascii="Arial" w:hAnsi="Arial" w:cs="Arial"/>
        <w:b/>
        <w:sz w:val="16"/>
        <w:szCs w:val="16"/>
      </w:rPr>
      <w:t xml:space="preserve">identified </w:t>
    </w:r>
    <w:r w:rsidRPr="006C774C">
      <w:rPr>
        <w:rFonts w:ascii="Arial" w:hAnsi="Arial" w:cs="Arial"/>
        <w:b/>
        <w:sz w:val="16"/>
        <w:szCs w:val="16"/>
      </w:rPr>
      <w:t>in COSHH Product Task Cards for the cleaning product being used for each task.</w:t>
    </w:r>
  </w:p>
  <w:p w:rsidR="00B7434D" w:rsidRDefault="0027189E" w:rsidP="00FC7AA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</w:p>
  <w:p w:rsidR="00B7434D" w:rsidRPr="00440ACA" w:rsidRDefault="00440ACA" w:rsidP="00440ACA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 xml:space="preserve">     </w:t>
    </w:r>
    <w:r w:rsidRPr="00440ACA">
      <w:rPr>
        <w:rFonts w:ascii="Arial" w:hAnsi="Arial" w:cs="Arial"/>
        <w:sz w:val="16"/>
        <w:szCs w:val="16"/>
      </w:rPr>
      <w:t xml:space="preserve"> </w:t>
    </w:r>
    <w:r w:rsidR="0027189E">
      <w:rPr>
        <w:rFonts w:ascii="Arial" w:hAnsi="Arial" w:cs="Arial"/>
        <w:sz w:val="16"/>
        <w:szCs w:val="16"/>
      </w:rPr>
      <w:t xml:space="preserve">M&amp;S </w:t>
    </w:r>
    <w:proofErr w:type="spellStart"/>
    <w:r w:rsidR="0027189E">
      <w:rPr>
        <w:rFonts w:ascii="Arial" w:hAnsi="Arial" w:cs="Arial"/>
        <w:sz w:val="16"/>
        <w:szCs w:val="16"/>
      </w:rPr>
      <w:t>CoP</w:t>
    </w:r>
    <w:proofErr w:type="spellEnd"/>
    <w:r w:rsidR="0027189E">
      <w:rPr>
        <w:rFonts w:ascii="Arial" w:hAnsi="Arial" w:cs="Arial"/>
        <w:sz w:val="16"/>
        <w:szCs w:val="16"/>
      </w:rPr>
      <w:t xml:space="preserve"> BI/FS/F/001/01</w:t>
    </w:r>
    <w:r w:rsidR="00B7434D" w:rsidRPr="00440ACA">
      <w:rPr>
        <w:rFonts w:ascii="Arial" w:hAnsi="Arial" w:cs="Arial"/>
        <w:sz w:val="16"/>
        <w:szCs w:val="16"/>
      </w:rPr>
      <w:tab/>
    </w:r>
    <w:r w:rsidR="0027189E">
      <w:rPr>
        <w:rFonts w:ascii="Arial" w:hAnsi="Arial" w:cs="Arial"/>
        <w:sz w:val="16"/>
        <w:szCs w:val="16"/>
      </w:rPr>
      <w:t xml:space="preserve">                                                                       </w:t>
    </w:r>
    <w:r w:rsidR="00B7434D" w:rsidRPr="00440ACA">
      <w:rPr>
        <w:rFonts w:ascii="Arial" w:hAnsi="Arial" w:cs="Arial"/>
        <w:sz w:val="16"/>
        <w:szCs w:val="16"/>
      </w:rPr>
      <w:tab/>
      <w:t xml:space="preserve">Page </w:t>
    </w:r>
    <w:r w:rsidR="00B7434D" w:rsidRPr="00440ACA">
      <w:rPr>
        <w:rFonts w:ascii="Arial" w:hAnsi="Arial" w:cs="Arial"/>
        <w:sz w:val="16"/>
        <w:szCs w:val="16"/>
      </w:rPr>
      <w:fldChar w:fldCharType="begin"/>
    </w:r>
    <w:r w:rsidR="00B7434D" w:rsidRPr="00440ACA">
      <w:rPr>
        <w:rFonts w:ascii="Arial" w:hAnsi="Arial" w:cs="Arial"/>
        <w:sz w:val="16"/>
        <w:szCs w:val="16"/>
      </w:rPr>
      <w:instrText xml:space="preserve"> PAGE </w:instrText>
    </w:r>
    <w:r w:rsidR="00B7434D" w:rsidRPr="00440ACA">
      <w:rPr>
        <w:rFonts w:ascii="Arial" w:hAnsi="Arial" w:cs="Arial"/>
        <w:sz w:val="16"/>
        <w:szCs w:val="16"/>
      </w:rPr>
      <w:fldChar w:fldCharType="separate"/>
    </w:r>
    <w:r w:rsidR="0027189E">
      <w:rPr>
        <w:rFonts w:ascii="Arial" w:hAnsi="Arial" w:cs="Arial"/>
        <w:noProof/>
        <w:sz w:val="16"/>
        <w:szCs w:val="16"/>
      </w:rPr>
      <w:t>13</w:t>
    </w:r>
    <w:r w:rsidR="00B7434D" w:rsidRPr="00440ACA">
      <w:rPr>
        <w:rFonts w:ascii="Arial" w:hAnsi="Arial" w:cs="Arial"/>
        <w:sz w:val="16"/>
        <w:szCs w:val="16"/>
      </w:rPr>
      <w:fldChar w:fldCharType="end"/>
    </w:r>
    <w:r w:rsidR="00B7434D" w:rsidRPr="00440ACA">
      <w:rPr>
        <w:rFonts w:ascii="Arial" w:hAnsi="Arial" w:cs="Arial"/>
        <w:sz w:val="16"/>
        <w:szCs w:val="16"/>
      </w:rPr>
      <w:t xml:space="preserve"> of </w:t>
    </w:r>
    <w:r w:rsidR="00B7434D" w:rsidRPr="00440ACA">
      <w:rPr>
        <w:rFonts w:ascii="Arial" w:hAnsi="Arial" w:cs="Arial"/>
        <w:sz w:val="16"/>
        <w:szCs w:val="16"/>
      </w:rPr>
      <w:fldChar w:fldCharType="begin"/>
    </w:r>
    <w:r w:rsidR="00B7434D" w:rsidRPr="00440ACA">
      <w:rPr>
        <w:rFonts w:ascii="Arial" w:hAnsi="Arial" w:cs="Arial"/>
        <w:sz w:val="16"/>
        <w:szCs w:val="16"/>
      </w:rPr>
      <w:instrText xml:space="preserve"> NUMPAGES </w:instrText>
    </w:r>
    <w:r w:rsidR="00B7434D" w:rsidRPr="00440ACA">
      <w:rPr>
        <w:rFonts w:ascii="Arial" w:hAnsi="Arial" w:cs="Arial"/>
        <w:sz w:val="16"/>
        <w:szCs w:val="16"/>
      </w:rPr>
      <w:fldChar w:fldCharType="separate"/>
    </w:r>
    <w:r w:rsidR="0027189E">
      <w:rPr>
        <w:rFonts w:ascii="Arial" w:hAnsi="Arial" w:cs="Arial"/>
        <w:noProof/>
        <w:sz w:val="16"/>
        <w:szCs w:val="16"/>
      </w:rPr>
      <w:t>13</w:t>
    </w:r>
    <w:r w:rsidR="00B7434D" w:rsidRPr="00440ACA">
      <w:rPr>
        <w:rFonts w:ascii="Arial" w:hAnsi="Arial" w:cs="Arial"/>
        <w:sz w:val="16"/>
        <w:szCs w:val="16"/>
      </w:rPr>
      <w:fldChar w:fldCharType="end"/>
    </w:r>
    <w:r w:rsidR="0027189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March 2016</w:t>
    </w:r>
  </w:p>
  <w:p w:rsidR="00B7434D" w:rsidRDefault="00B74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27" w:rsidRDefault="00557D27">
      <w:r>
        <w:separator/>
      </w:r>
    </w:p>
  </w:footnote>
  <w:footnote w:type="continuationSeparator" w:id="0">
    <w:p w:rsidR="00557D27" w:rsidRDefault="0055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4D" w:rsidRPr="00943453" w:rsidRDefault="00B7434D" w:rsidP="00FC7AAB">
    <w:pPr>
      <w:pStyle w:val="Header"/>
      <w:jc w:val="center"/>
      <w:rPr>
        <w:rFonts w:ascii="Arial" w:hAnsi="Arial" w:cs="Arial"/>
        <w:b/>
        <w:sz w:val="22"/>
        <w:szCs w:val="22"/>
      </w:rPr>
    </w:pPr>
    <w:r w:rsidRPr="00943453">
      <w:rPr>
        <w:rFonts w:ascii="Arial" w:hAnsi="Arial" w:cs="Arial"/>
        <w:b/>
        <w:sz w:val="22"/>
        <w:szCs w:val="22"/>
      </w:rPr>
      <w:t>COMPASS GROUP UK &amp; IRELAND – CATERING CLEANING SCHEDULE</w:t>
    </w:r>
  </w:p>
  <w:p w:rsidR="00B7434D" w:rsidRPr="00943453" w:rsidRDefault="00B7434D" w:rsidP="00FC7AAB">
    <w:pPr>
      <w:pStyle w:val="Header"/>
      <w:jc w:val="center"/>
      <w:rPr>
        <w:rFonts w:ascii="Arial" w:hAnsi="Arial" w:cs="Arial"/>
        <w:b/>
        <w:sz w:val="22"/>
        <w:szCs w:val="22"/>
      </w:rPr>
    </w:pPr>
    <w:r w:rsidRPr="00943453">
      <w:rPr>
        <w:rFonts w:ascii="Arial" w:hAnsi="Arial" w:cs="Arial"/>
        <w:b/>
        <w:sz w:val="22"/>
        <w:szCs w:val="22"/>
      </w:rPr>
      <w:tab/>
    </w:r>
  </w:p>
  <w:p w:rsidR="00B7434D" w:rsidRPr="00943453" w:rsidRDefault="00B7434D" w:rsidP="00FC7AAB">
    <w:pPr>
      <w:pStyle w:val="Header"/>
      <w:rPr>
        <w:rFonts w:ascii="Arial" w:hAnsi="Arial" w:cs="Arial"/>
        <w:b/>
        <w:sz w:val="22"/>
        <w:szCs w:val="22"/>
      </w:rPr>
    </w:pPr>
    <w:r w:rsidRPr="00943453">
      <w:rPr>
        <w:rFonts w:ascii="Arial" w:hAnsi="Arial" w:cs="Arial"/>
        <w:b/>
        <w:sz w:val="22"/>
        <w:szCs w:val="22"/>
      </w:rPr>
      <w:t xml:space="preserve">   Unit Name:</w:t>
    </w:r>
    <w:r w:rsidRPr="00943453">
      <w:rPr>
        <w:rFonts w:ascii="Arial" w:hAnsi="Arial" w:cs="Arial"/>
        <w:b/>
        <w:sz w:val="22"/>
        <w:szCs w:val="22"/>
      </w:rPr>
      <w:tab/>
    </w:r>
    <w:r w:rsidRPr="00943453">
      <w:rPr>
        <w:rFonts w:ascii="Arial" w:hAnsi="Arial" w:cs="Arial"/>
        <w:b/>
        <w:sz w:val="22"/>
        <w:szCs w:val="22"/>
      </w:rPr>
      <w:tab/>
      <w:t>Unit No:</w:t>
    </w:r>
    <w:r w:rsidRPr="00943453">
      <w:rPr>
        <w:rFonts w:ascii="Arial" w:hAnsi="Arial" w:cs="Arial"/>
        <w:b/>
        <w:sz w:val="22"/>
        <w:szCs w:val="22"/>
      </w:rPr>
      <w:tab/>
    </w:r>
    <w:r w:rsidRPr="00943453">
      <w:rPr>
        <w:rFonts w:ascii="Arial" w:hAnsi="Arial" w:cs="Arial"/>
        <w:b/>
        <w:sz w:val="22"/>
        <w:szCs w:val="22"/>
      </w:rPr>
      <w:tab/>
    </w:r>
    <w:r w:rsidRPr="00943453">
      <w:rPr>
        <w:rFonts w:ascii="Arial" w:hAnsi="Arial" w:cs="Arial"/>
        <w:b/>
        <w:sz w:val="22"/>
        <w:szCs w:val="22"/>
      </w:rPr>
      <w:tab/>
      <w:t xml:space="preserve">Location: </w:t>
    </w:r>
  </w:p>
  <w:p w:rsidR="00B7434D" w:rsidRDefault="00B7434D" w:rsidP="00FC7AAB">
    <w:pPr>
      <w:pStyle w:val="Header"/>
      <w:rPr>
        <w:rFonts w:ascii="Arial" w:hAnsi="Arial" w:cs="Arial"/>
        <w:b/>
      </w:rPr>
    </w:pPr>
  </w:p>
  <w:tbl>
    <w:tblPr>
      <w:tblW w:w="0" w:type="auto"/>
      <w:tblInd w:w="11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5"/>
      <w:gridCol w:w="1472"/>
      <w:gridCol w:w="1883"/>
      <w:gridCol w:w="1422"/>
      <w:gridCol w:w="1475"/>
      <w:gridCol w:w="5986"/>
    </w:tblGrid>
    <w:tr w:rsidR="00B7434D" w:rsidRPr="00CA6A38" w:rsidTr="00B7434D">
      <w:trPr>
        <w:trHeight w:val="743"/>
      </w:trPr>
      <w:tc>
        <w:tcPr>
          <w:tcW w:w="2612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ITEM</w:t>
          </w:r>
        </w:p>
      </w:tc>
      <w:tc>
        <w:tcPr>
          <w:tcW w:w="1201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FREQUENCY</w:t>
          </w:r>
        </w:p>
      </w:tc>
      <w:tc>
        <w:tcPr>
          <w:tcW w:w="1302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RESPONSIBILITY</w:t>
          </w:r>
        </w:p>
      </w:tc>
      <w:tc>
        <w:tcPr>
          <w:tcW w:w="1455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PRODUCT</w:t>
          </w:r>
        </w:p>
      </w:tc>
      <w:tc>
        <w:tcPr>
          <w:tcW w:w="1506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PPE REQUIRED</w:t>
          </w:r>
        </w:p>
      </w:tc>
      <w:tc>
        <w:tcPr>
          <w:tcW w:w="6743" w:type="dxa"/>
          <w:shd w:val="clear" w:color="auto" w:fill="D9D9D9"/>
          <w:vAlign w:val="center"/>
        </w:tcPr>
        <w:p w:rsidR="00B7434D" w:rsidRPr="00943453" w:rsidRDefault="00B7434D" w:rsidP="00B7434D">
          <w:pPr>
            <w:tabs>
              <w:tab w:val="right" w:leader="dot" w:pos="7434"/>
              <w:tab w:val="left" w:pos="10332"/>
              <w:tab w:val="left" w:pos="11232"/>
              <w:tab w:val="right" w:leader="dot" w:pos="14832"/>
            </w:tabs>
            <w:suppressAutoHyphens/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3453">
            <w:rPr>
              <w:rFonts w:ascii="Arial" w:hAnsi="Arial" w:cs="Arial"/>
              <w:b/>
              <w:sz w:val="20"/>
              <w:szCs w:val="20"/>
            </w:rPr>
            <w:t>METHOD</w:t>
          </w:r>
          <w:r w:rsidR="00B33110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B7434D" w:rsidRDefault="00B7434D" w:rsidP="00FC7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4DAB"/>
    <w:multiLevelType w:val="hybridMultilevel"/>
    <w:tmpl w:val="D94241E4"/>
    <w:lvl w:ilvl="0" w:tplc="42BEFE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268"/>
    <w:multiLevelType w:val="hybridMultilevel"/>
    <w:tmpl w:val="B53C37BE"/>
    <w:lvl w:ilvl="0" w:tplc="42BEFEE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B"/>
    <w:rsid w:val="00001759"/>
    <w:rsid w:val="000031CF"/>
    <w:rsid w:val="000150FA"/>
    <w:rsid w:val="00052CCA"/>
    <w:rsid w:val="00052E5E"/>
    <w:rsid w:val="00067206"/>
    <w:rsid w:val="00071F1B"/>
    <w:rsid w:val="00073917"/>
    <w:rsid w:val="000869BD"/>
    <w:rsid w:val="00091DEE"/>
    <w:rsid w:val="001220FD"/>
    <w:rsid w:val="001300F3"/>
    <w:rsid w:val="001321B4"/>
    <w:rsid w:val="001967FA"/>
    <w:rsid w:val="001A03D6"/>
    <w:rsid w:val="00221D34"/>
    <w:rsid w:val="002242CF"/>
    <w:rsid w:val="00250257"/>
    <w:rsid w:val="00262C2A"/>
    <w:rsid w:val="0027189E"/>
    <w:rsid w:val="00284163"/>
    <w:rsid w:val="002A5464"/>
    <w:rsid w:val="002A5638"/>
    <w:rsid w:val="002E6A65"/>
    <w:rsid w:val="002F700F"/>
    <w:rsid w:val="0030310A"/>
    <w:rsid w:val="00304048"/>
    <w:rsid w:val="00373320"/>
    <w:rsid w:val="00384166"/>
    <w:rsid w:val="003859C1"/>
    <w:rsid w:val="003906AB"/>
    <w:rsid w:val="00393A07"/>
    <w:rsid w:val="003A30B3"/>
    <w:rsid w:val="003D0EBF"/>
    <w:rsid w:val="003E5EEA"/>
    <w:rsid w:val="003F7244"/>
    <w:rsid w:val="00401C47"/>
    <w:rsid w:val="004176CC"/>
    <w:rsid w:val="004300F0"/>
    <w:rsid w:val="00440ACA"/>
    <w:rsid w:val="00441CFC"/>
    <w:rsid w:val="00461865"/>
    <w:rsid w:val="00462D60"/>
    <w:rsid w:val="0047121B"/>
    <w:rsid w:val="00486705"/>
    <w:rsid w:val="004935D7"/>
    <w:rsid w:val="004A308C"/>
    <w:rsid w:val="004A7083"/>
    <w:rsid w:val="00515424"/>
    <w:rsid w:val="00547810"/>
    <w:rsid w:val="00557D27"/>
    <w:rsid w:val="005824EB"/>
    <w:rsid w:val="005944F8"/>
    <w:rsid w:val="00594A2C"/>
    <w:rsid w:val="005A18E1"/>
    <w:rsid w:val="005A5119"/>
    <w:rsid w:val="005B53F6"/>
    <w:rsid w:val="005E7AED"/>
    <w:rsid w:val="00603CF6"/>
    <w:rsid w:val="006214B6"/>
    <w:rsid w:val="00632E25"/>
    <w:rsid w:val="00647E1E"/>
    <w:rsid w:val="0066644B"/>
    <w:rsid w:val="006A28F6"/>
    <w:rsid w:val="006C774C"/>
    <w:rsid w:val="006D0012"/>
    <w:rsid w:val="006E514C"/>
    <w:rsid w:val="006E5ACC"/>
    <w:rsid w:val="00731739"/>
    <w:rsid w:val="007345A8"/>
    <w:rsid w:val="00734EC0"/>
    <w:rsid w:val="00747242"/>
    <w:rsid w:val="0075445F"/>
    <w:rsid w:val="00764B6E"/>
    <w:rsid w:val="0077477A"/>
    <w:rsid w:val="00776650"/>
    <w:rsid w:val="00797FB8"/>
    <w:rsid w:val="007A48AE"/>
    <w:rsid w:val="007F76DE"/>
    <w:rsid w:val="008153B2"/>
    <w:rsid w:val="0082482E"/>
    <w:rsid w:val="008468DA"/>
    <w:rsid w:val="00846DA8"/>
    <w:rsid w:val="00855D5F"/>
    <w:rsid w:val="00861548"/>
    <w:rsid w:val="008828EB"/>
    <w:rsid w:val="008A12A9"/>
    <w:rsid w:val="008B16AA"/>
    <w:rsid w:val="008B7676"/>
    <w:rsid w:val="008C4146"/>
    <w:rsid w:val="008C4F9B"/>
    <w:rsid w:val="008D029A"/>
    <w:rsid w:val="00906B66"/>
    <w:rsid w:val="009102B2"/>
    <w:rsid w:val="009136C8"/>
    <w:rsid w:val="009246F7"/>
    <w:rsid w:val="00943453"/>
    <w:rsid w:val="009501F2"/>
    <w:rsid w:val="00974552"/>
    <w:rsid w:val="00983CCD"/>
    <w:rsid w:val="00986F3E"/>
    <w:rsid w:val="009A014B"/>
    <w:rsid w:val="009E547F"/>
    <w:rsid w:val="00A020AF"/>
    <w:rsid w:val="00A108B2"/>
    <w:rsid w:val="00A220C4"/>
    <w:rsid w:val="00A46184"/>
    <w:rsid w:val="00AA621E"/>
    <w:rsid w:val="00AA744E"/>
    <w:rsid w:val="00AB54A3"/>
    <w:rsid w:val="00AC0D9C"/>
    <w:rsid w:val="00AD6855"/>
    <w:rsid w:val="00AF04FC"/>
    <w:rsid w:val="00AF2E55"/>
    <w:rsid w:val="00AF505E"/>
    <w:rsid w:val="00B22606"/>
    <w:rsid w:val="00B25A79"/>
    <w:rsid w:val="00B276BB"/>
    <w:rsid w:val="00B326D3"/>
    <w:rsid w:val="00B33110"/>
    <w:rsid w:val="00B45CB6"/>
    <w:rsid w:val="00B7434D"/>
    <w:rsid w:val="00B95225"/>
    <w:rsid w:val="00BC689D"/>
    <w:rsid w:val="00BF4BC6"/>
    <w:rsid w:val="00C21027"/>
    <w:rsid w:val="00C41033"/>
    <w:rsid w:val="00C429A7"/>
    <w:rsid w:val="00C50CB9"/>
    <w:rsid w:val="00C67903"/>
    <w:rsid w:val="00C72D9A"/>
    <w:rsid w:val="00C86C53"/>
    <w:rsid w:val="00C9408F"/>
    <w:rsid w:val="00CA6A38"/>
    <w:rsid w:val="00CA77AA"/>
    <w:rsid w:val="00CC010A"/>
    <w:rsid w:val="00CD767F"/>
    <w:rsid w:val="00D0065B"/>
    <w:rsid w:val="00D04414"/>
    <w:rsid w:val="00D06988"/>
    <w:rsid w:val="00D67FE7"/>
    <w:rsid w:val="00D77CF3"/>
    <w:rsid w:val="00DB6CA1"/>
    <w:rsid w:val="00DD5261"/>
    <w:rsid w:val="00DE3DE6"/>
    <w:rsid w:val="00DE5818"/>
    <w:rsid w:val="00E05685"/>
    <w:rsid w:val="00E2366C"/>
    <w:rsid w:val="00E527E9"/>
    <w:rsid w:val="00E637DF"/>
    <w:rsid w:val="00E933F0"/>
    <w:rsid w:val="00ED709A"/>
    <w:rsid w:val="00F02067"/>
    <w:rsid w:val="00F10DF9"/>
    <w:rsid w:val="00F208A3"/>
    <w:rsid w:val="00F22E3C"/>
    <w:rsid w:val="00F24E85"/>
    <w:rsid w:val="00F25235"/>
    <w:rsid w:val="00F313CB"/>
    <w:rsid w:val="00F3351F"/>
    <w:rsid w:val="00F419E1"/>
    <w:rsid w:val="00F535A4"/>
    <w:rsid w:val="00F938E3"/>
    <w:rsid w:val="00F962BA"/>
    <w:rsid w:val="00FB011F"/>
    <w:rsid w:val="00FC7AAB"/>
    <w:rsid w:val="00FC7DBD"/>
    <w:rsid w:val="00FD38C3"/>
    <w:rsid w:val="00FE13C1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E50B0D2-132A-42A4-998C-D8058FA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A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A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246F7"/>
    <w:pPr>
      <w:tabs>
        <w:tab w:val="right" w:leader="dot" w:pos="7434"/>
        <w:tab w:val="left" w:pos="10332"/>
        <w:tab w:val="left" w:pos="11232"/>
        <w:tab w:val="right" w:leader="dot" w:pos="14832"/>
      </w:tabs>
      <w:suppressAutoHyphens/>
      <w:spacing w:before="240" w:after="240" w:line="336" w:lineRule="auto"/>
      <w:jc w:val="center"/>
    </w:pPr>
    <w:rPr>
      <w:rFonts w:ascii="Arial Narrow" w:hAnsi="Arial Narrow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rsid w:val="00052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A490-2142-463A-A7C9-0E4FEB80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2388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Compass Group UK &amp; Ireland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Compass Group UK &amp; Ireland</dc:creator>
  <cp:lastModifiedBy>Natalia Zielinska</cp:lastModifiedBy>
  <cp:revision>3</cp:revision>
  <cp:lastPrinted>2016-03-02T12:27:00Z</cp:lastPrinted>
  <dcterms:created xsi:type="dcterms:W3CDTF">2018-07-19T13:04:00Z</dcterms:created>
  <dcterms:modified xsi:type="dcterms:W3CDTF">2019-03-14T12:51:00Z</dcterms:modified>
</cp:coreProperties>
</file>