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9620" w14:textId="77777777" w:rsidR="008A5E7D" w:rsidRPr="001A2100" w:rsidRDefault="008A5E7D" w:rsidP="006A58B2">
      <w:pPr>
        <w:pStyle w:val="Heading2"/>
        <w:spacing w:before="120" w:after="120" w:line="360" w:lineRule="auto"/>
      </w:pPr>
      <w:r>
        <w:t>1.</w:t>
      </w:r>
      <w:r>
        <w:tab/>
        <w:t>Introduction</w:t>
      </w:r>
    </w:p>
    <w:p w14:paraId="21029621" w14:textId="77777777" w:rsidR="0070544D" w:rsidRPr="008A5E7D" w:rsidRDefault="00CC43A0" w:rsidP="006A58B2">
      <w:pPr>
        <w:spacing w:after="120" w:line="360" w:lineRule="auto"/>
        <w:jc w:val="both"/>
        <w:rPr>
          <w:rFonts w:eastAsia="Calibri" w:cs="Arial"/>
          <w:color w:val="5F5F5F"/>
          <w:szCs w:val="22"/>
        </w:rPr>
      </w:pPr>
      <w:r w:rsidRPr="008A5E7D">
        <w:rPr>
          <w:rFonts w:eastAsia="Calibri" w:cs="Arial"/>
          <w:color w:val="5F5F5F"/>
          <w:szCs w:val="22"/>
        </w:rPr>
        <w:t xml:space="preserve">Regulations 4 and 5 </w:t>
      </w:r>
      <w:r w:rsidR="00EA2828" w:rsidRPr="008A5E7D">
        <w:rPr>
          <w:rFonts w:eastAsia="Calibri" w:cs="Arial"/>
          <w:color w:val="5F5F5F"/>
          <w:szCs w:val="22"/>
        </w:rPr>
        <w:t>of the Construction (Design and Management) Regulations 20</w:t>
      </w:r>
      <w:r w:rsidRPr="008A5E7D">
        <w:rPr>
          <w:rFonts w:eastAsia="Calibri" w:cs="Arial"/>
          <w:color w:val="5F5F5F"/>
          <w:szCs w:val="22"/>
        </w:rPr>
        <w:t>15</w:t>
      </w:r>
      <w:r w:rsidR="00EA2828" w:rsidRPr="008A5E7D">
        <w:rPr>
          <w:rFonts w:eastAsia="Calibri" w:cs="Arial"/>
          <w:color w:val="5F5F5F"/>
          <w:szCs w:val="22"/>
        </w:rPr>
        <w:t xml:space="preserve"> </w:t>
      </w:r>
      <w:r w:rsidR="00474741" w:rsidRPr="008A5E7D">
        <w:rPr>
          <w:rFonts w:eastAsia="Calibri" w:cs="Arial"/>
          <w:color w:val="5F5F5F"/>
          <w:szCs w:val="22"/>
        </w:rPr>
        <w:t>(CDM</w:t>
      </w:r>
      <w:r w:rsidR="00F2019E" w:rsidRPr="008A5E7D">
        <w:rPr>
          <w:rFonts w:eastAsia="Calibri" w:cs="Arial"/>
          <w:color w:val="5F5F5F"/>
          <w:szCs w:val="22"/>
        </w:rPr>
        <w:t xml:space="preserve"> </w:t>
      </w:r>
      <w:r w:rsidR="00474741" w:rsidRPr="008A5E7D">
        <w:rPr>
          <w:rFonts w:eastAsia="Calibri" w:cs="Arial"/>
          <w:color w:val="5F5F5F"/>
          <w:szCs w:val="22"/>
        </w:rPr>
        <w:t xml:space="preserve">2015) </w:t>
      </w:r>
      <w:r w:rsidR="00EA2828" w:rsidRPr="008A5E7D">
        <w:rPr>
          <w:rFonts w:eastAsia="Calibri" w:cs="Arial"/>
          <w:color w:val="5F5F5F"/>
          <w:szCs w:val="22"/>
        </w:rPr>
        <w:t xml:space="preserve">require that clients </w:t>
      </w:r>
      <w:r w:rsidR="00AF63FD" w:rsidRPr="008A5E7D">
        <w:rPr>
          <w:rFonts w:eastAsia="Calibri" w:cs="Arial"/>
          <w:color w:val="5F5F5F"/>
          <w:szCs w:val="22"/>
        </w:rPr>
        <w:t>ensure</w:t>
      </w:r>
      <w:r w:rsidR="00EA2828" w:rsidRPr="008A5E7D">
        <w:rPr>
          <w:rFonts w:eastAsia="Calibri" w:cs="Arial"/>
          <w:color w:val="5F5F5F"/>
          <w:szCs w:val="22"/>
        </w:rPr>
        <w:t xml:space="preserve"> that there are suitable project specific arrangements for the management of health and safety throughout the project.</w:t>
      </w:r>
      <w:r w:rsidR="00496FFF">
        <w:rPr>
          <w:rFonts w:eastAsia="Calibri" w:cs="Arial"/>
          <w:color w:val="5F5F5F"/>
          <w:szCs w:val="22"/>
        </w:rPr>
        <w:t xml:space="preserve"> </w:t>
      </w:r>
    </w:p>
    <w:p w14:paraId="21029622" w14:textId="77777777" w:rsidR="00EE3853" w:rsidRPr="008A5E7D" w:rsidRDefault="004F4C5E" w:rsidP="006A58B2">
      <w:pPr>
        <w:spacing w:after="120" w:line="360" w:lineRule="auto"/>
        <w:jc w:val="both"/>
        <w:rPr>
          <w:rFonts w:eastAsia="Calibri" w:cs="Arial"/>
          <w:color w:val="5F5F5F"/>
          <w:szCs w:val="22"/>
        </w:rPr>
      </w:pPr>
      <w:r w:rsidRPr="008A5E7D">
        <w:rPr>
          <w:rFonts w:eastAsia="Calibri" w:cs="Arial"/>
          <w:color w:val="5F5F5F"/>
          <w:szCs w:val="22"/>
        </w:rPr>
        <w:t>The c</w:t>
      </w:r>
      <w:r w:rsidR="0070544D" w:rsidRPr="008A5E7D">
        <w:rPr>
          <w:rFonts w:eastAsia="Calibri" w:cs="Arial"/>
          <w:color w:val="5F5F5F"/>
          <w:szCs w:val="22"/>
        </w:rPr>
        <w:t xml:space="preserve">lient </w:t>
      </w:r>
      <w:r w:rsidRPr="008A5E7D">
        <w:rPr>
          <w:rFonts w:eastAsia="Calibri" w:cs="Arial"/>
          <w:color w:val="5F5F5F"/>
          <w:szCs w:val="22"/>
        </w:rPr>
        <w:t xml:space="preserve">plays an important part </w:t>
      </w:r>
      <w:r w:rsidR="0070544D" w:rsidRPr="008A5E7D">
        <w:rPr>
          <w:rFonts w:eastAsia="Calibri" w:cs="Arial"/>
          <w:color w:val="5F5F5F"/>
          <w:szCs w:val="22"/>
        </w:rPr>
        <w:t xml:space="preserve">in ensuring that construction work is properly planned, resourced and managed to protect the health, safety and welfare of those carrying out work on, or who may be affected by, the project. </w:t>
      </w:r>
      <w:r w:rsidR="00EE3853" w:rsidRPr="008A5E7D">
        <w:rPr>
          <w:rFonts w:eastAsia="Calibri" w:cs="Arial"/>
          <w:color w:val="5F5F5F"/>
          <w:szCs w:val="22"/>
        </w:rPr>
        <w:t xml:space="preserve">Therefore, where </w:t>
      </w:r>
      <w:r w:rsidR="002F04AE">
        <w:rPr>
          <w:rFonts w:eastAsia="Calibri" w:cs="Arial"/>
          <w:color w:val="5F5F5F"/>
          <w:szCs w:val="22"/>
        </w:rPr>
        <w:t>the Company</w:t>
      </w:r>
      <w:r w:rsidR="00F2019E" w:rsidRPr="008A5E7D">
        <w:rPr>
          <w:rFonts w:eastAsia="Calibri" w:cs="Arial"/>
          <w:color w:val="5F5F5F"/>
          <w:szCs w:val="22"/>
        </w:rPr>
        <w:t xml:space="preserve"> are CDM c</w:t>
      </w:r>
      <w:r w:rsidR="00EE3853" w:rsidRPr="008A5E7D">
        <w:rPr>
          <w:rFonts w:eastAsia="Calibri" w:cs="Arial"/>
          <w:color w:val="5F5F5F"/>
          <w:szCs w:val="22"/>
        </w:rPr>
        <w:t xml:space="preserve">lient </w:t>
      </w:r>
      <w:r w:rsidR="0070544D" w:rsidRPr="008A5E7D">
        <w:rPr>
          <w:rFonts w:eastAsia="Calibri" w:cs="Arial"/>
          <w:color w:val="5F5F5F"/>
          <w:szCs w:val="22"/>
        </w:rPr>
        <w:t>project</w:t>
      </w:r>
      <w:r w:rsidR="00C732F0" w:rsidRPr="008A5E7D">
        <w:rPr>
          <w:rFonts w:eastAsia="Calibri" w:cs="Arial"/>
          <w:color w:val="5F5F5F"/>
          <w:szCs w:val="22"/>
        </w:rPr>
        <w:t>,</w:t>
      </w:r>
      <w:r w:rsidR="0070544D" w:rsidRPr="008A5E7D">
        <w:rPr>
          <w:rFonts w:eastAsia="Calibri" w:cs="Arial"/>
          <w:color w:val="5F5F5F"/>
          <w:szCs w:val="22"/>
        </w:rPr>
        <w:t xml:space="preserve"> specific arrangements for the management of health and safety </w:t>
      </w:r>
      <w:r w:rsidRPr="008A5E7D">
        <w:rPr>
          <w:rFonts w:eastAsia="Calibri" w:cs="Arial"/>
          <w:color w:val="5F5F5F"/>
          <w:szCs w:val="22"/>
        </w:rPr>
        <w:t xml:space="preserve">should be </w:t>
      </w:r>
      <w:r w:rsidR="00EE3853" w:rsidRPr="008A5E7D">
        <w:rPr>
          <w:rFonts w:eastAsia="Calibri" w:cs="Arial"/>
          <w:color w:val="5F5F5F"/>
          <w:szCs w:val="22"/>
        </w:rPr>
        <w:t>prepared.</w:t>
      </w:r>
    </w:p>
    <w:p w14:paraId="21029623" w14:textId="77777777" w:rsidR="00EA2828" w:rsidRPr="008A5E7D" w:rsidRDefault="00EA2828" w:rsidP="006A58B2">
      <w:pPr>
        <w:spacing w:after="120" w:line="360" w:lineRule="auto"/>
        <w:jc w:val="both"/>
        <w:rPr>
          <w:rFonts w:eastAsia="Calibri" w:cs="Arial"/>
          <w:color w:val="5F5F5F"/>
          <w:szCs w:val="22"/>
        </w:rPr>
      </w:pPr>
      <w:r w:rsidRPr="008A5E7D">
        <w:rPr>
          <w:rFonts w:eastAsia="Calibri" w:cs="Arial"/>
          <w:color w:val="5F5F5F"/>
          <w:szCs w:val="22"/>
        </w:rPr>
        <w:t>This note gives guidance on a framework for these management arrangements.</w:t>
      </w:r>
    </w:p>
    <w:p w14:paraId="21029624" w14:textId="77777777" w:rsidR="00EA2828" w:rsidRPr="008A5E7D" w:rsidRDefault="00EA2828" w:rsidP="006A58B2">
      <w:pPr>
        <w:spacing w:after="120" w:line="360" w:lineRule="auto"/>
        <w:jc w:val="both"/>
        <w:rPr>
          <w:rFonts w:eastAsia="Calibri" w:cs="Arial"/>
          <w:color w:val="5F5F5F"/>
          <w:szCs w:val="22"/>
        </w:rPr>
      </w:pPr>
      <w:r w:rsidRPr="008A5E7D">
        <w:rPr>
          <w:rFonts w:eastAsia="Calibri" w:cs="Arial"/>
          <w:color w:val="5F5F5F"/>
          <w:szCs w:val="22"/>
        </w:rPr>
        <w:t>The key headings for the management arrangements are illustrated in this document but others may be required depending upon the nature and size of the project.</w:t>
      </w:r>
      <w:r w:rsidR="009A432D" w:rsidRPr="008A5E7D">
        <w:rPr>
          <w:rFonts w:eastAsia="Calibri" w:cs="Arial"/>
          <w:color w:val="5F5F5F"/>
          <w:szCs w:val="22"/>
        </w:rPr>
        <w:t xml:space="preserve"> The scope of the management arrangements should reflect the size, complexity and level of risk of the project.</w:t>
      </w:r>
    </w:p>
    <w:p w14:paraId="21029625" w14:textId="77777777" w:rsidR="00EA2828" w:rsidRPr="008A5E7D" w:rsidRDefault="008A5E7D" w:rsidP="006A58B2">
      <w:pPr>
        <w:pStyle w:val="Heading2"/>
        <w:spacing w:before="240" w:after="120" w:line="360" w:lineRule="auto"/>
      </w:pPr>
      <w:r>
        <w:t>2.</w:t>
      </w:r>
      <w:r>
        <w:tab/>
      </w:r>
      <w:r w:rsidRPr="008A5E7D">
        <w:t>Objective of the Management Arrangements</w:t>
      </w:r>
    </w:p>
    <w:p w14:paraId="21029626" w14:textId="77777777" w:rsidR="00EA2828" w:rsidRPr="008A5E7D" w:rsidRDefault="00EA2828" w:rsidP="006A58B2">
      <w:pPr>
        <w:spacing w:after="120" w:line="360" w:lineRule="auto"/>
        <w:jc w:val="both"/>
        <w:rPr>
          <w:rFonts w:eastAsia="Calibri" w:cs="Arial"/>
          <w:color w:val="5F5F5F"/>
          <w:szCs w:val="22"/>
        </w:rPr>
      </w:pPr>
      <w:r w:rsidRPr="008A5E7D">
        <w:rPr>
          <w:rFonts w:eastAsia="Calibri" w:cs="Arial"/>
          <w:color w:val="5F5F5F"/>
          <w:szCs w:val="22"/>
        </w:rPr>
        <w:t>The aim of developing, implementing and maintaining management arrangements is to ensure that, throughout the planning, design and construction of a project, adequate</w:t>
      </w:r>
      <w:r w:rsidR="00651CD7" w:rsidRPr="008A5E7D">
        <w:rPr>
          <w:rFonts w:eastAsia="Calibri" w:cs="Arial"/>
          <w:color w:val="5F5F5F"/>
          <w:szCs w:val="22"/>
        </w:rPr>
        <w:t xml:space="preserve"> </w:t>
      </w:r>
      <w:r w:rsidRPr="008A5E7D">
        <w:rPr>
          <w:rFonts w:eastAsia="Calibri" w:cs="Arial"/>
          <w:color w:val="5F5F5F"/>
          <w:szCs w:val="22"/>
        </w:rPr>
        <w:t>consideration is given to the health, safety and welfare of all those affected.  These considerations include not only the construction phase but also the ongoing operation, maintenance, cleaning and further refurbishment or demolition of the structure.</w:t>
      </w:r>
    </w:p>
    <w:p w14:paraId="21029627" w14:textId="77777777" w:rsidR="00EA2828" w:rsidRDefault="00EA2828" w:rsidP="006A58B2">
      <w:pPr>
        <w:spacing w:after="120" w:line="360" w:lineRule="auto"/>
        <w:jc w:val="both"/>
        <w:rPr>
          <w:rFonts w:eastAsia="Calibri" w:cs="Arial"/>
          <w:color w:val="5F5F5F"/>
          <w:szCs w:val="22"/>
        </w:rPr>
      </w:pPr>
      <w:r w:rsidRPr="008A5E7D">
        <w:rPr>
          <w:rFonts w:eastAsia="Calibri" w:cs="Arial"/>
          <w:color w:val="5F5F5F"/>
          <w:szCs w:val="22"/>
        </w:rPr>
        <w:t>Key objectives to achieve this goal are:</w:t>
      </w:r>
    </w:p>
    <w:p w14:paraId="21029628" w14:textId="77777777" w:rsidR="00EA2828" w:rsidRPr="008A5E7D" w:rsidRDefault="00EA2828" w:rsidP="00D93EC1">
      <w:pPr>
        <w:pStyle w:val="Bullet1"/>
        <w:numPr>
          <w:ilvl w:val="0"/>
          <w:numId w:val="4"/>
        </w:numPr>
        <w:spacing w:line="360" w:lineRule="auto"/>
      </w:pPr>
      <w:r w:rsidRPr="008A5E7D">
        <w:t>Maintaining management control over health and safety</w:t>
      </w:r>
    </w:p>
    <w:p w14:paraId="21029629" w14:textId="77777777" w:rsidR="00EA2828" w:rsidRPr="008A5E7D" w:rsidRDefault="00EA2828" w:rsidP="00D93EC1">
      <w:pPr>
        <w:pStyle w:val="Bullet1"/>
        <w:numPr>
          <w:ilvl w:val="0"/>
          <w:numId w:val="4"/>
        </w:numPr>
        <w:spacing w:line="360" w:lineRule="auto"/>
      </w:pPr>
      <w:r w:rsidRPr="008A5E7D">
        <w:t>Ensuring communication, co-ordination and co-operation</w:t>
      </w:r>
    </w:p>
    <w:p w14:paraId="2102962A" w14:textId="77777777" w:rsidR="00EA2828" w:rsidRPr="008A5E7D" w:rsidRDefault="00EA2828" w:rsidP="00D93EC1">
      <w:pPr>
        <w:pStyle w:val="Bullet1"/>
        <w:numPr>
          <w:ilvl w:val="0"/>
          <w:numId w:val="4"/>
        </w:numPr>
        <w:spacing w:line="360" w:lineRule="auto"/>
      </w:pPr>
      <w:r w:rsidRPr="008A5E7D">
        <w:t>Engaging persons</w:t>
      </w:r>
      <w:r w:rsidR="00EE3853" w:rsidRPr="008A5E7D">
        <w:t xml:space="preserve"> who have the appropriate sk</w:t>
      </w:r>
      <w:r w:rsidR="00564AFB">
        <w:t xml:space="preserve">ills, knowledge, experience and </w:t>
      </w:r>
      <w:r w:rsidR="00EE3853" w:rsidRPr="008A5E7D">
        <w:t>organisational capability</w:t>
      </w:r>
    </w:p>
    <w:p w14:paraId="2102962B" w14:textId="77777777" w:rsidR="00EA2828" w:rsidRPr="008A5E7D" w:rsidRDefault="00EA2828" w:rsidP="00D93EC1">
      <w:pPr>
        <w:pStyle w:val="Bullet1"/>
        <w:numPr>
          <w:ilvl w:val="0"/>
          <w:numId w:val="4"/>
        </w:numPr>
        <w:spacing w:line="360" w:lineRule="auto"/>
      </w:pPr>
      <w:r w:rsidRPr="008A5E7D">
        <w:t>Providing adequate resources including time</w:t>
      </w:r>
    </w:p>
    <w:p w14:paraId="2102962C" w14:textId="77777777" w:rsidR="00EA2828" w:rsidRPr="008A5E7D" w:rsidRDefault="00EA2828" w:rsidP="00D93EC1">
      <w:pPr>
        <w:pStyle w:val="Bullet1"/>
        <w:numPr>
          <w:ilvl w:val="0"/>
          <w:numId w:val="4"/>
        </w:numPr>
        <w:spacing w:line="360" w:lineRule="auto"/>
      </w:pPr>
      <w:r w:rsidRPr="008A5E7D">
        <w:t>Being aware of external factors</w:t>
      </w:r>
    </w:p>
    <w:p w14:paraId="2102962D" w14:textId="77777777" w:rsidR="00EA2828" w:rsidRPr="008A5E7D" w:rsidRDefault="00EA2828" w:rsidP="00D93EC1">
      <w:pPr>
        <w:pStyle w:val="Bullet1"/>
        <w:numPr>
          <w:ilvl w:val="0"/>
          <w:numId w:val="4"/>
        </w:numPr>
        <w:spacing w:line="360" w:lineRule="auto"/>
      </w:pPr>
      <w:r w:rsidRPr="008A5E7D">
        <w:t>Managing change</w:t>
      </w:r>
    </w:p>
    <w:p w14:paraId="2102962E" w14:textId="77777777" w:rsidR="00EA2828" w:rsidRPr="008A5E7D" w:rsidRDefault="00EA2828" w:rsidP="00D93EC1">
      <w:pPr>
        <w:pStyle w:val="Bullet1"/>
        <w:numPr>
          <w:ilvl w:val="0"/>
          <w:numId w:val="4"/>
        </w:numPr>
        <w:spacing w:line="360" w:lineRule="auto"/>
      </w:pPr>
      <w:r w:rsidRPr="008A5E7D">
        <w:t>Monitoring performance</w:t>
      </w:r>
    </w:p>
    <w:p w14:paraId="2102962F" w14:textId="77777777" w:rsidR="00EA2828" w:rsidRPr="008A5E7D" w:rsidRDefault="00EA2828" w:rsidP="006A58B2">
      <w:pPr>
        <w:spacing w:after="120" w:line="360" w:lineRule="auto"/>
        <w:jc w:val="both"/>
        <w:rPr>
          <w:rFonts w:eastAsia="Calibri" w:cs="Arial"/>
          <w:color w:val="5F5F5F"/>
          <w:szCs w:val="22"/>
        </w:rPr>
      </w:pPr>
      <w:r w:rsidRPr="008A5E7D">
        <w:rPr>
          <w:rFonts w:eastAsia="Calibri" w:cs="Arial"/>
          <w:color w:val="5F5F5F"/>
          <w:szCs w:val="22"/>
        </w:rPr>
        <w:t>These objectives form the basis of the management arrangements.</w:t>
      </w:r>
    </w:p>
    <w:p w14:paraId="21029630" w14:textId="77777777" w:rsidR="00EA2828" w:rsidRPr="008A5E7D" w:rsidRDefault="008A5E7D" w:rsidP="006A58B2">
      <w:pPr>
        <w:pStyle w:val="Heading2"/>
        <w:spacing w:before="240" w:after="120" w:line="360" w:lineRule="auto"/>
      </w:pPr>
      <w:r>
        <w:lastRenderedPageBreak/>
        <w:t>3.</w:t>
      </w:r>
      <w:r>
        <w:tab/>
      </w:r>
      <w:r w:rsidRPr="008A5E7D">
        <w:t>Management Arrangements Framework</w:t>
      </w:r>
    </w:p>
    <w:p w14:paraId="21029631" w14:textId="77777777" w:rsidR="00EA2828" w:rsidRPr="008A5E7D" w:rsidRDefault="00EA2828" w:rsidP="006A58B2">
      <w:pPr>
        <w:spacing w:after="120" w:line="360" w:lineRule="auto"/>
        <w:jc w:val="both"/>
        <w:rPr>
          <w:rFonts w:eastAsia="Calibri" w:cs="Arial"/>
          <w:color w:val="5F5F5F"/>
          <w:szCs w:val="22"/>
        </w:rPr>
      </w:pPr>
      <w:r w:rsidRPr="008A5E7D">
        <w:rPr>
          <w:rFonts w:eastAsia="Calibri" w:cs="Arial"/>
          <w:color w:val="5F5F5F"/>
          <w:szCs w:val="22"/>
        </w:rPr>
        <w:t>The management arrangements should be developed under the headings discussed below.  Guidance on the detail required under each heading is given but the content will vary depending on the type, location and size of the project.  The completed management arrangements should adequately cover the following issues:</w:t>
      </w:r>
    </w:p>
    <w:p w14:paraId="21029632" w14:textId="77777777" w:rsidR="00EE3853" w:rsidRPr="008A5E7D" w:rsidRDefault="00EE3853" w:rsidP="00D93EC1">
      <w:pPr>
        <w:pStyle w:val="Bullet1"/>
        <w:numPr>
          <w:ilvl w:val="0"/>
          <w:numId w:val="5"/>
        </w:numPr>
        <w:spacing w:line="360" w:lineRule="auto"/>
      </w:pPr>
      <w:r w:rsidRPr="008A5E7D">
        <w:t>Identify the main function and operational requirements of the finished project</w:t>
      </w:r>
    </w:p>
    <w:p w14:paraId="21029633" w14:textId="77777777" w:rsidR="00EA2828" w:rsidRPr="008A5E7D" w:rsidRDefault="00EA2828" w:rsidP="00D93EC1">
      <w:pPr>
        <w:pStyle w:val="Bullet1"/>
        <w:numPr>
          <w:ilvl w:val="0"/>
          <w:numId w:val="5"/>
        </w:numPr>
        <w:spacing w:line="360" w:lineRule="auto"/>
      </w:pPr>
      <w:r w:rsidRPr="008A5E7D">
        <w:t>Requirements about how the project is to be run taking account of any risks to the public</w:t>
      </w:r>
    </w:p>
    <w:p w14:paraId="21029634" w14:textId="77777777" w:rsidR="00EA2828" w:rsidRPr="008A5E7D" w:rsidRDefault="00EA2828" w:rsidP="00D93EC1">
      <w:pPr>
        <w:pStyle w:val="Bullet1"/>
        <w:numPr>
          <w:ilvl w:val="0"/>
          <w:numId w:val="5"/>
        </w:numPr>
        <w:spacing w:line="360" w:lineRule="auto"/>
      </w:pPr>
      <w:r w:rsidRPr="008A5E7D">
        <w:t>The resources, roles, functions and responsibilities of members of the project team, how they inter-relate and where relevant, the timing of their appointments</w:t>
      </w:r>
    </w:p>
    <w:p w14:paraId="21029635" w14:textId="77777777" w:rsidR="00EA2828" w:rsidRPr="008A5E7D" w:rsidRDefault="00EA2828" w:rsidP="00D93EC1">
      <w:pPr>
        <w:pStyle w:val="Bullet1"/>
        <w:numPr>
          <w:ilvl w:val="0"/>
          <w:numId w:val="5"/>
        </w:numPr>
        <w:spacing w:line="360" w:lineRule="auto"/>
      </w:pPr>
      <w:r w:rsidRPr="008A5E7D">
        <w:t>The interface with any third parties including other projects on the same or adjoining sites</w:t>
      </w:r>
    </w:p>
    <w:p w14:paraId="21029636" w14:textId="77777777" w:rsidR="00EA2828" w:rsidRPr="008A5E7D" w:rsidRDefault="00EA2828" w:rsidP="00D93EC1">
      <w:pPr>
        <w:pStyle w:val="Bullet1"/>
        <w:numPr>
          <w:ilvl w:val="0"/>
          <w:numId w:val="5"/>
        </w:numPr>
        <w:spacing w:line="360" w:lineRule="auto"/>
      </w:pPr>
      <w:r w:rsidRPr="008A5E7D">
        <w:t>How communication, co-ordination and co-operation will be facilitated.</w:t>
      </w:r>
    </w:p>
    <w:p w14:paraId="21029637" w14:textId="77777777" w:rsidR="00EA2828" w:rsidRPr="008A5E7D" w:rsidRDefault="00EA2828" w:rsidP="00D93EC1">
      <w:pPr>
        <w:pStyle w:val="Bullet1"/>
        <w:numPr>
          <w:ilvl w:val="0"/>
          <w:numId w:val="5"/>
        </w:numPr>
        <w:spacing w:line="360" w:lineRule="auto"/>
      </w:pPr>
      <w:r w:rsidRPr="008A5E7D">
        <w:t>How health and safety hazards and associated risks will be recorded and information circulated</w:t>
      </w:r>
    </w:p>
    <w:p w14:paraId="21029638" w14:textId="77777777" w:rsidR="00EA2828" w:rsidRPr="008A5E7D" w:rsidRDefault="00EA2828" w:rsidP="00D93EC1">
      <w:pPr>
        <w:pStyle w:val="Bullet1"/>
        <w:numPr>
          <w:ilvl w:val="0"/>
          <w:numId w:val="5"/>
        </w:numPr>
        <w:spacing w:line="360" w:lineRule="auto"/>
      </w:pPr>
      <w:r w:rsidRPr="008A5E7D">
        <w:t>How and when the design and de</w:t>
      </w:r>
      <w:r w:rsidR="00A844C1">
        <w:t>sign changes are to be reviewed</w:t>
      </w:r>
    </w:p>
    <w:p w14:paraId="21029639" w14:textId="77777777" w:rsidR="00EA2828" w:rsidRPr="008A5E7D" w:rsidRDefault="00EA2828" w:rsidP="00D93EC1">
      <w:pPr>
        <w:pStyle w:val="Bullet1"/>
        <w:numPr>
          <w:ilvl w:val="0"/>
          <w:numId w:val="5"/>
        </w:numPr>
        <w:spacing w:line="360" w:lineRule="auto"/>
      </w:pPr>
      <w:r w:rsidRPr="008A5E7D">
        <w:t xml:space="preserve">The format for the </w:t>
      </w:r>
      <w:r w:rsidR="002D02B6" w:rsidRPr="008A5E7D">
        <w:t>H</w:t>
      </w:r>
      <w:r w:rsidRPr="008A5E7D">
        <w:t xml:space="preserve">ealth and </w:t>
      </w:r>
      <w:r w:rsidR="002D02B6" w:rsidRPr="008A5E7D">
        <w:t>S</w:t>
      </w:r>
      <w:r w:rsidRPr="008A5E7D">
        <w:t xml:space="preserve">afety </w:t>
      </w:r>
      <w:r w:rsidR="002D02B6" w:rsidRPr="008A5E7D">
        <w:t>F</w:t>
      </w:r>
      <w:r w:rsidRPr="008A5E7D">
        <w:t xml:space="preserve">ile, or </w:t>
      </w:r>
      <w:r w:rsidR="002D02B6" w:rsidRPr="008A5E7D">
        <w:t>B</w:t>
      </w:r>
      <w:r w:rsidRPr="008A5E7D">
        <w:t xml:space="preserve">uilding </w:t>
      </w:r>
      <w:r w:rsidR="002D02B6" w:rsidRPr="008A5E7D">
        <w:t>M</w:t>
      </w:r>
      <w:r w:rsidRPr="008A5E7D">
        <w:t xml:space="preserve">anual </w:t>
      </w:r>
      <w:r w:rsidR="00CF423A" w:rsidRPr="008A5E7D">
        <w:t>(</w:t>
      </w:r>
      <w:r w:rsidRPr="008A5E7D">
        <w:t xml:space="preserve">incorporating the </w:t>
      </w:r>
      <w:r w:rsidR="002D02B6" w:rsidRPr="008A5E7D">
        <w:t>H</w:t>
      </w:r>
      <w:r w:rsidRPr="008A5E7D">
        <w:t xml:space="preserve">ealth and </w:t>
      </w:r>
      <w:r w:rsidR="002D02B6" w:rsidRPr="008A5E7D">
        <w:t>S</w:t>
      </w:r>
      <w:r w:rsidRPr="008A5E7D">
        <w:t xml:space="preserve">afety </w:t>
      </w:r>
      <w:r w:rsidR="002D02B6" w:rsidRPr="008A5E7D">
        <w:t>F</w:t>
      </w:r>
      <w:r w:rsidRPr="008A5E7D">
        <w:t>ile</w:t>
      </w:r>
      <w:r w:rsidR="00CF423A" w:rsidRPr="008A5E7D">
        <w:t>)</w:t>
      </w:r>
    </w:p>
    <w:p w14:paraId="2102963A" w14:textId="77777777" w:rsidR="00EA2828" w:rsidRPr="008A5E7D" w:rsidRDefault="00EA2828" w:rsidP="00D93EC1">
      <w:pPr>
        <w:pStyle w:val="Bullet1"/>
        <w:numPr>
          <w:ilvl w:val="0"/>
          <w:numId w:val="5"/>
        </w:numPr>
        <w:spacing w:line="360" w:lineRule="auto"/>
      </w:pPr>
      <w:r w:rsidRPr="008A5E7D">
        <w:t>How the project will be monitored and reviewed</w:t>
      </w:r>
    </w:p>
    <w:p w14:paraId="2102963B" w14:textId="77777777" w:rsidR="002D02B6" w:rsidRPr="008A5E7D" w:rsidRDefault="002D02B6" w:rsidP="00D93EC1">
      <w:pPr>
        <w:pStyle w:val="Bullet1"/>
        <w:numPr>
          <w:ilvl w:val="0"/>
          <w:numId w:val="5"/>
        </w:numPr>
        <w:spacing w:line="360" w:lineRule="auto"/>
      </w:pPr>
      <w:r w:rsidRPr="008A5E7D">
        <w:t>Arrangements for providing suitable welfare facilities</w:t>
      </w:r>
    </w:p>
    <w:p w14:paraId="2102963C" w14:textId="77777777" w:rsidR="00EA2828" w:rsidRDefault="00EA2828" w:rsidP="006A58B2">
      <w:pPr>
        <w:spacing w:after="120" w:line="360" w:lineRule="auto"/>
        <w:jc w:val="both"/>
        <w:rPr>
          <w:rFonts w:eastAsia="Calibri" w:cs="Arial"/>
          <w:color w:val="5F5F5F"/>
          <w:szCs w:val="22"/>
        </w:rPr>
      </w:pPr>
      <w:r w:rsidRPr="008A5E7D">
        <w:rPr>
          <w:rFonts w:eastAsia="Calibri" w:cs="Arial"/>
          <w:color w:val="5F5F5F"/>
          <w:szCs w:val="22"/>
        </w:rPr>
        <w:t>The most important issue is that all key tasks are clearly allocated and everyone understands what they have to do and when.</w:t>
      </w:r>
    </w:p>
    <w:p w14:paraId="2102963D" w14:textId="77777777" w:rsidR="006A58B2" w:rsidRPr="008A5E7D" w:rsidRDefault="006A58B2" w:rsidP="006A58B2">
      <w:pPr>
        <w:spacing w:after="120" w:line="360" w:lineRule="auto"/>
        <w:jc w:val="both"/>
        <w:rPr>
          <w:rFonts w:eastAsia="Calibri" w:cs="Arial"/>
          <w:color w:val="5F5F5F"/>
          <w:szCs w:val="22"/>
        </w:rPr>
      </w:pPr>
    </w:p>
    <w:p w14:paraId="2102963E" w14:textId="77777777" w:rsidR="00EA2828" w:rsidRPr="008A5E7D" w:rsidRDefault="008A5E7D" w:rsidP="006A58B2">
      <w:pPr>
        <w:pStyle w:val="Heading2"/>
        <w:spacing w:before="240" w:after="120" w:line="360" w:lineRule="auto"/>
      </w:pPr>
      <w:r>
        <w:t>4.</w:t>
      </w:r>
      <w:r>
        <w:tab/>
      </w:r>
      <w:r w:rsidRPr="008A5E7D">
        <w:t xml:space="preserve">Management Arrangements Format </w:t>
      </w:r>
      <w:r w:rsidR="00641333" w:rsidRPr="008A5E7D">
        <w:t>and</w:t>
      </w:r>
      <w:r w:rsidRPr="008A5E7D">
        <w:t xml:space="preserve"> Content</w:t>
      </w:r>
    </w:p>
    <w:p w14:paraId="2102963F" w14:textId="77777777" w:rsidR="00EA2828" w:rsidRPr="008A5E7D" w:rsidRDefault="00EA2828" w:rsidP="00D93EC1">
      <w:pPr>
        <w:pStyle w:val="Heading2"/>
        <w:numPr>
          <w:ilvl w:val="1"/>
          <w:numId w:val="2"/>
        </w:numPr>
        <w:spacing w:before="240" w:after="120" w:line="360" w:lineRule="auto"/>
        <w:ind w:left="0" w:firstLine="0"/>
      </w:pPr>
      <w:r w:rsidRPr="008A5E7D">
        <w:t>Project Specifics</w:t>
      </w:r>
    </w:p>
    <w:p w14:paraId="21029640" w14:textId="77777777" w:rsidR="009A432D" w:rsidRPr="006A58B2" w:rsidRDefault="009A432D" w:rsidP="00D93EC1">
      <w:pPr>
        <w:pStyle w:val="Bullet1"/>
        <w:numPr>
          <w:ilvl w:val="0"/>
          <w:numId w:val="6"/>
        </w:numPr>
        <w:spacing w:line="360" w:lineRule="auto"/>
        <w:rPr>
          <w:color w:val="auto"/>
        </w:rPr>
      </w:pPr>
      <w:r w:rsidRPr="006A58B2">
        <w:rPr>
          <w:color w:val="auto"/>
        </w:rPr>
        <w:t>The main function and operational requirements of the finished project</w:t>
      </w:r>
    </w:p>
    <w:p w14:paraId="21029641" w14:textId="77777777" w:rsidR="00EA2828" w:rsidRPr="006A58B2" w:rsidRDefault="00DD2356" w:rsidP="00D93EC1">
      <w:pPr>
        <w:pStyle w:val="Bullet1"/>
        <w:numPr>
          <w:ilvl w:val="0"/>
          <w:numId w:val="6"/>
        </w:numPr>
        <w:spacing w:line="360" w:lineRule="auto"/>
        <w:rPr>
          <w:color w:val="auto"/>
        </w:rPr>
      </w:pPr>
      <w:r w:rsidRPr="006A58B2">
        <w:rPr>
          <w:color w:val="auto"/>
        </w:rPr>
        <w:t>High-level requirements</w:t>
      </w:r>
      <w:r w:rsidR="009A432D" w:rsidRPr="006A58B2">
        <w:rPr>
          <w:color w:val="auto"/>
        </w:rPr>
        <w:t xml:space="preserve"> </w:t>
      </w:r>
      <w:r w:rsidR="004F4C5E" w:rsidRPr="006A58B2">
        <w:rPr>
          <w:color w:val="auto"/>
        </w:rPr>
        <w:t>including</w:t>
      </w:r>
      <w:r w:rsidRPr="006A58B2">
        <w:rPr>
          <w:color w:val="auto"/>
        </w:rPr>
        <w:t>:</w:t>
      </w:r>
    </w:p>
    <w:p w14:paraId="21029642" w14:textId="77777777" w:rsidR="00EA2828" w:rsidRPr="006A58B2" w:rsidRDefault="00EA2828" w:rsidP="00D93EC1">
      <w:pPr>
        <w:numPr>
          <w:ilvl w:val="0"/>
          <w:numId w:val="3"/>
        </w:numPr>
        <w:tabs>
          <w:tab w:val="clear" w:pos="1440"/>
          <w:tab w:val="num" w:pos="1134"/>
        </w:tabs>
        <w:spacing w:line="360" w:lineRule="auto"/>
        <w:ind w:left="0" w:firstLine="567"/>
        <w:rPr>
          <w:rFonts w:cs="Arial"/>
        </w:rPr>
      </w:pPr>
      <w:r w:rsidRPr="006A58B2">
        <w:rPr>
          <w:rFonts w:cs="Arial"/>
        </w:rPr>
        <w:t>Organisational structure</w:t>
      </w:r>
    </w:p>
    <w:p w14:paraId="21029643" w14:textId="77777777" w:rsidR="00EA2828" w:rsidRPr="006A58B2" w:rsidRDefault="00EA2828" w:rsidP="00D93EC1">
      <w:pPr>
        <w:numPr>
          <w:ilvl w:val="0"/>
          <w:numId w:val="3"/>
        </w:numPr>
        <w:tabs>
          <w:tab w:val="clear" w:pos="1440"/>
          <w:tab w:val="num" w:pos="1134"/>
        </w:tabs>
        <w:spacing w:line="360" w:lineRule="auto"/>
        <w:ind w:left="0" w:firstLine="567"/>
        <w:rPr>
          <w:rFonts w:cs="Arial"/>
        </w:rPr>
      </w:pPr>
      <w:r w:rsidRPr="006A58B2">
        <w:rPr>
          <w:rFonts w:cs="Arial"/>
        </w:rPr>
        <w:t>Applicable written procedures</w:t>
      </w:r>
    </w:p>
    <w:p w14:paraId="21029644" w14:textId="77777777" w:rsidR="00EA2828" w:rsidRPr="006A58B2" w:rsidRDefault="00EA2828" w:rsidP="00D93EC1">
      <w:pPr>
        <w:numPr>
          <w:ilvl w:val="0"/>
          <w:numId w:val="3"/>
        </w:numPr>
        <w:tabs>
          <w:tab w:val="clear" w:pos="1440"/>
          <w:tab w:val="num" w:pos="1134"/>
        </w:tabs>
        <w:spacing w:line="360" w:lineRule="auto"/>
        <w:ind w:left="0" w:firstLine="567"/>
        <w:rPr>
          <w:rFonts w:cs="Arial"/>
        </w:rPr>
      </w:pPr>
      <w:r w:rsidRPr="006A58B2">
        <w:rPr>
          <w:rFonts w:cs="Arial"/>
        </w:rPr>
        <w:t>Procurement procedures</w:t>
      </w:r>
    </w:p>
    <w:p w14:paraId="21029645" w14:textId="77777777" w:rsidR="00EA2828" w:rsidRPr="006A58B2" w:rsidRDefault="00EA2828" w:rsidP="00D93EC1">
      <w:pPr>
        <w:numPr>
          <w:ilvl w:val="0"/>
          <w:numId w:val="3"/>
        </w:numPr>
        <w:tabs>
          <w:tab w:val="clear" w:pos="1440"/>
          <w:tab w:val="num" w:pos="1134"/>
        </w:tabs>
        <w:spacing w:line="360" w:lineRule="auto"/>
        <w:ind w:left="0" w:firstLine="567"/>
        <w:rPr>
          <w:rFonts w:cs="Arial"/>
        </w:rPr>
      </w:pPr>
      <w:r w:rsidRPr="006A58B2">
        <w:rPr>
          <w:rFonts w:cs="Arial"/>
        </w:rPr>
        <w:lastRenderedPageBreak/>
        <w:t>Roles and responsibilities</w:t>
      </w:r>
    </w:p>
    <w:p w14:paraId="21029646" w14:textId="77777777" w:rsidR="00EA2828" w:rsidRPr="008A5E7D" w:rsidRDefault="00EA2828" w:rsidP="00D93EC1">
      <w:pPr>
        <w:pStyle w:val="Heading2"/>
        <w:numPr>
          <w:ilvl w:val="1"/>
          <w:numId w:val="2"/>
        </w:numPr>
        <w:spacing w:before="240" w:after="120" w:line="360" w:lineRule="auto"/>
        <w:ind w:left="0" w:firstLine="0"/>
      </w:pPr>
      <w:r w:rsidRPr="008A5E7D">
        <w:t>Resources</w:t>
      </w:r>
    </w:p>
    <w:p w14:paraId="21029647" w14:textId="77777777" w:rsidR="00E73FAF" w:rsidRPr="008A5E7D" w:rsidRDefault="00E73FAF" w:rsidP="006A58B2">
      <w:pPr>
        <w:spacing w:after="120" w:line="360" w:lineRule="auto"/>
        <w:jc w:val="both"/>
        <w:rPr>
          <w:rFonts w:eastAsia="Calibri" w:cs="Arial"/>
          <w:color w:val="5F5F5F"/>
          <w:szCs w:val="22"/>
        </w:rPr>
      </w:pPr>
      <w:r w:rsidRPr="008A5E7D">
        <w:rPr>
          <w:rFonts w:eastAsia="Calibri" w:cs="Arial"/>
          <w:color w:val="5F5F5F"/>
          <w:szCs w:val="22"/>
        </w:rPr>
        <w:t>A top level project programme should be prepared which will identify the principal elements of the project including:</w:t>
      </w:r>
    </w:p>
    <w:p w14:paraId="21029648" w14:textId="77777777" w:rsidR="00E73FAF" w:rsidRPr="008A5E7D" w:rsidRDefault="00E73FAF" w:rsidP="00D93EC1">
      <w:pPr>
        <w:pStyle w:val="Bullet1"/>
        <w:numPr>
          <w:ilvl w:val="0"/>
          <w:numId w:val="7"/>
        </w:numPr>
        <w:spacing w:line="360" w:lineRule="auto"/>
      </w:pPr>
      <w:r w:rsidRPr="008A5E7D">
        <w:t>Phasing</w:t>
      </w:r>
    </w:p>
    <w:p w14:paraId="21029649" w14:textId="77777777" w:rsidR="00E73FAF" w:rsidRPr="008A5E7D" w:rsidRDefault="00E73FAF" w:rsidP="00D93EC1">
      <w:pPr>
        <w:pStyle w:val="Bullet1"/>
        <w:numPr>
          <w:ilvl w:val="0"/>
          <w:numId w:val="7"/>
        </w:numPr>
        <w:spacing w:line="360" w:lineRule="auto"/>
      </w:pPr>
      <w:r w:rsidRPr="008A5E7D">
        <w:t>Design periods</w:t>
      </w:r>
    </w:p>
    <w:p w14:paraId="2102964A" w14:textId="77777777" w:rsidR="00E73FAF" w:rsidRPr="008A5E7D" w:rsidRDefault="00E73FAF" w:rsidP="00D93EC1">
      <w:pPr>
        <w:pStyle w:val="Bullet1"/>
        <w:numPr>
          <w:ilvl w:val="0"/>
          <w:numId w:val="7"/>
        </w:numPr>
        <w:spacing w:line="360" w:lineRule="auto"/>
      </w:pPr>
      <w:r w:rsidRPr="008A5E7D">
        <w:t>Approval periods</w:t>
      </w:r>
    </w:p>
    <w:p w14:paraId="2102964B" w14:textId="77777777" w:rsidR="00E73FAF" w:rsidRPr="008A5E7D" w:rsidRDefault="00E73FAF" w:rsidP="00D93EC1">
      <w:pPr>
        <w:pStyle w:val="Bullet1"/>
        <w:numPr>
          <w:ilvl w:val="0"/>
          <w:numId w:val="7"/>
        </w:numPr>
        <w:spacing w:line="360" w:lineRule="auto"/>
      </w:pPr>
      <w:r w:rsidRPr="008A5E7D">
        <w:t>Minimum time for contractor to prepare</w:t>
      </w:r>
    </w:p>
    <w:p w14:paraId="2102964C" w14:textId="77777777" w:rsidR="00E73FAF" w:rsidRPr="008A5E7D" w:rsidRDefault="00E73FAF" w:rsidP="00D93EC1">
      <w:pPr>
        <w:pStyle w:val="Bullet1"/>
        <w:numPr>
          <w:ilvl w:val="0"/>
          <w:numId w:val="7"/>
        </w:numPr>
        <w:spacing w:line="360" w:lineRule="auto"/>
      </w:pPr>
      <w:r w:rsidRPr="008A5E7D">
        <w:t>Construction periods</w:t>
      </w:r>
    </w:p>
    <w:p w14:paraId="2102964D" w14:textId="77777777" w:rsidR="00E73FAF" w:rsidRPr="008A5E7D" w:rsidRDefault="00E73FAF" w:rsidP="00D93EC1">
      <w:pPr>
        <w:pStyle w:val="Bullet1"/>
        <w:numPr>
          <w:ilvl w:val="0"/>
          <w:numId w:val="7"/>
        </w:numPr>
        <w:spacing w:line="360" w:lineRule="auto"/>
      </w:pPr>
      <w:r w:rsidRPr="008A5E7D">
        <w:t>External influences</w:t>
      </w:r>
    </w:p>
    <w:p w14:paraId="2102964E" w14:textId="77777777" w:rsidR="00E73FAF" w:rsidRPr="008A5E7D" w:rsidRDefault="00E73FAF" w:rsidP="00D93EC1">
      <w:pPr>
        <w:pStyle w:val="Bullet1"/>
        <w:numPr>
          <w:ilvl w:val="0"/>
          <w:numId w:val="7"/>
        </w:numPr>
        <w:spacing w:line="360" w:lineRule="auto"/>
      </w:pPr>
      <w:r w:rsidRPr="008A5E7D">
        <w:t>CDM requirements</w:t>
      </w:r>
    </w:p>
    <w:p w14:paraId="2102964F" w14:textId="77777777" w:rsidR="00E73FAF" w:rsidRPr="008A5E7D" w:rsidRDefault="00E73FAF" w:rsidP="006A58B2">
      <w:pPr>
        <w:spacing w:after="120" w:line="360" w:lineRule="auto"/>
        <w:jc w:val="both"/>
        <w:rPr>
          <w:rFonts w:eastAsia="Calibri" w:cs="Arial"/>
          <w:color w:val="5F5F5F"/>
          <w:szCs w:val="22"/>
        </w:rPr>
      </w:pPr>
      <w:r w:rsidRPr="008A5E7D">
        <w:rPr>
          <w:rFonts w:eastAsia="Calibri" w:cs="Arial"/>
          <w:color w:val="5F5F5F"/>
          <w:szCs w:val="22"/>
        </w:rPr>
        <w:t>This programme will be used to assess the timescales of any works that may impact on the local environment and it will make provision for works by others (e.g. service diversions) and approval periods (e.g. planning approval).</w:t>
      </w:r>
    </w:p>
    <w:p w14:paraId="21029650" w14:textId="77777777" w:rsidR="00E73FAF" w:rsidRPr="008A5E7D" w:rsidRDefault="008A5E7D" w:rsidP="00D93EC1">
      <w:pPr>
        <w:pStyle w:val="Heading2"/>
        <w:numPr>
          <w:ilvl w:val="1"/>
          <w:numId w:val="2"/>
        </w:numPr>
        <w:spacing w:before="240" w:after="120" w:line="360" w:lineRule="auto"/>
        <w:ind w:left="0" w:hanging="753"/>
      </w:pPr>
      <w:r>
        <w:br w:type="page"/>
      </w:r>
      <w:r w:rsidR="00E73FAF" w:rsidRPr="008A5E7D">
        <w:lastRenderedPageBreak/>
        <w:t>Roles and Responsibilities</w:t>
      </w:r>
    </w:p>
    <w:p w14:paraId="21029651" w14:textId="77777777" w:rsidR="00EA2828" w:rsidRPr="008A5E7D" w:rsidRDefault="00EA2828" w:rsidP="006A58B2">
      <w:pPr>
        <w:spacing w:after="120" w:line="360" w:lineRule="auto"/>
        <w:rPr>
          <w:rFonts w:cs="Arial"/>
          <w:color w:val="5F5F5F"/>
        </w:rPr>
      </w:pPr>
      <w:r w:rsidRPr="008A5E7D">
        <w:rPr>
          <w:rFonts w:cs="Arial"/>
          <w:color w:val="5F5F5F"/>
        </w:rPr>
        <w:t>The management arrangements should also include:</w:t>
      </w:r>
    </w:p>
    <w:p w14:paraId="21029652" w14:textId="77777777" w:rsidR="00EA2828" w:rsidRPr="008A5E7D" w:rsidRDefault="00EA2828" w:rsidP="00D93EC1">
      <w:pPr>
        <w:pStyle w:val="Bullet1"/>
        <w:numPr>
          <w:ilvl w:val="0"/>
          <w:numId w:val="7"/>
        </w:numPr>
        <w:spacing w:line="360" w:lineRule="auto"/>
      </w:pPr>
      <w:r w:rsidRPr="008A5E7D">
        <w:t>Management structure for the project</w:t>
      </w:r>
    </w:p>
    <w:p w14:paraId="21029653" w14:textId="77777777" w:rsidR="00EA2828" w:rsidRPr="008A5E7D" w:rsidRDefault="00EA2828" w:rsidP="00D93EC1">
      <w:pPr>
        <w:pStyle w:val="Bullet1"/>
        <w:numPr>
          <w:ilvl w:val="0"/>
          <w:numId w:val="7"/>
        </w:numPr>
        <w:spacing w:line="360" w:lineRule="auto"/>
      </w:pPr>
      <w:r w:rsidRPr="008A5E7D">
        <w:t>Required competence levels of the team members</w:t>
      </w:r>
    </w:p>
    <w:p w14:paraId="21029654" w14:textId="77777777" w:rsidR="00EA2828" w:rsidRPr="008A5E7D" w:rsidRDefault="00EA2828" w:rsidP="00D93EC1">
      <w:pPr>
        <w:pStyle w:val="Bullet1"/>
        <w:numPr>
          <w:ilvl w:val="0"/>
          <w:numId w:val="7"/>
        </w:numPr>
        <w:spacing w:line="360" w:lineRule="auto"/>
      </w:pPr>
      <w:r w:rsidRPr="008A5E7D">
        <w:t>Roles and responsibilities</w:t>
      </w:r>
    </w:p>
    <w:p w14:paraId="21029655" w14:textId="77777777" w:rsidR="00EA2828" w:rsidRPr="008A5E7D" w:rsidRDefault="00EA2828" w:rsidP="00D93EC1">
      <w:pPr>
        <w:pStyle w:val="Bullet1"/>
        <w:numPr>
          <w:ilvl w:val="0"/>
          <w:numId w:val="7"/>
        </w:numPr>
        <w:spacing w:line="360" w:lineRule="auto"/>
      </w:pPr>
      <w:r w:rsidRPr="008A5E7D">
        <w:t>Resource requirements of the selected team – e.g. competences, numbers, times allocated etc</w:t>
      </w:r>
      <w:r w:rsidR="003B211E" w:rsidRPr="008A5E7D">
        <w:t>.</w:t>
      </w:r>
    </w:p>
    <w:p w14:paraId="21029656" w14:textId="77777777" w:rsidR="00EA2828" w:rsidRPr="002F04AE" w:rsidRDefault="00EA2828" w:rsidP="00D93EC1">
      <w:pPr>
        <w:pStyle w:val="Heading2"/>
        <w:numPr>
          <w:ilvl w:val="1"/>
          <w:numId w:val="2"/>
        </w:numPr>
        <w:spacing w:before="240" w:after="120" w:line="360" w:lineRule="auto"/>
        <w:ind w:left="0" w:hanging="753"/>
      </w:pPr>
      <w:r w:rsidRPr="002F04AE">
        <w:t>Interfaces</w:t>
      </w:r>
    </w:p>
    <w:p w14:paraId="21029657" w14:textId="77777777" w:rsidR="00EA2828" w:rsidRPr="008A5E7D" w:rsidRDefault="00EA2828" w:rsidP="006A58B2">
      <w:pPr>
        <w:spacing w:after="120" w:line="360" w:lineRule="auto"/>
        <w:jc w:val="both"/>
        <w:rPr>
          <w:rFonts w:cs="Arial"/>
          <w:color w:val="5F5F5F"/>
        </w:rPr>
      </w:pPr>
      <w:r w:rsidRPr="008A5E7D">
        <w:rPr>
          <w:rFonts w:cs="Arial"/>
          <w:color w:val="5F5F5F"/>
        </w:rPr>
        <w:t xml:space="preserve">All interfaces between the project and the local environment should be identified in the management arrangements under </w:t>
      </w:r>
      <w:r w:rsidR="003B211E" w:rsidRPr="008A5E7D">
        <w:rPr>
          <w:rFonts w:cs="Arial"/>
          <w:color w:val="5F5F5F"/>
        </w:rPr>
        <w:t>a number of headings including:</w:t>
      </w:r>
    </w:p>
    <w:p w14:paraId="21029658" w14:textId="77777777" w:rsidR="00EA2828" w:rsidRPr="008A5E7D" w:rsidRDefault="00EA2828" w:rsidP="00D93EC1">
      <w:pPr>
        <w:pStyle w:val="Bullet1"/>
        <w:numPr>
          <w:ilvl w:val="0"/>
          <w:numId w:val="7"/>
        </w:numPr>
        <w:spacing w:line="360" w:lineRule="auto"/>
      </w:pPr>
      <w:r w:rsidRPr="008A5E7D">
        <w:t xml:space="preserve">Scope of works likely to result in </w:t>
      </w:r>
      <w:r w:rsidR="004F4C5E" w:rsidRPr="008A5E7D">
        <w:t>interface risks</w:t>
      </w:r>
    </w:p>
    <w:p w14:paraId="21029659" w14:textId="77777777" w:rsidR="00EA2828" w:rsidRPr="008A5E7D" w:rsidRDefault="00EA2828" w:rsidP="00D93EC1">
      <w:pPr>
        <w:pStyle w:val="Bullet1"/>
        <w:numPr>
          <w:ilvl w:val="0"/>
          <w:numId w:val="7"/>
        </w:numPr>
        <w:spacing w:line="360" w:lineRule="auto"/>
      </w:pPr>
      <w:r w:rsidRPr="008A5E7D">
        <w:t>Potential impact on e</w:t>
      </w:r>
      <w:r w:rsidR="004F4C5E" w:rsidRPr="008A5E7D">
        <w:t>xisting operational environment</w:t>
      </w:r>
    </w:p>
    <w:p w14:paraId="2102965A" w14:textId="77777777" w:rsidR="00EA2828" w:rsidRPr="008A5E7D" w:rsidRDefault="00EA2828" w:rsidP="00D93EC1">
      <w:pPr>
        <w:pStyle w:val="Bullet1"/>
        <w:numPr>
          <w:ilvl w:val="0"/>
          <w:numId w:val="7"/>
        </w:numPr>
        <w:spacing w:line="360" w:lineRule="auto"/>
      </w:pPr>
      <w:r w:rsidRPr="008A5E7D">
        <w:t>Incompatibilities and inconsistencies with existing works which may require modif</w:t>
      </w:r>
      <w:r w:rsidR="004F4C5E" w:rsidRPr="008A5E7D">
        <w:t>ications to the existing works</w:t>
      </w:r>
    </w:p>
    <w:p w14:paraId="2102965B" w14:textId="77777777" w:rsidR="00EA2828" w:rsidRPr="008A5E7D" w:rsidRDefault="00EA2828" w:rsidP="00D93EC1">
      <w:pPr>
        <w:pStyle w:val="Bullet1"/>
        <w:numPr>
          <w:ilvl w:val="0"/>
          <w:numId w:val="7"/>
        </w:numPr>
        <w:spacing w:line="360" w:lineRule="auto"/>
      </w:pPr>
      <w:r w:rsidRPr="008A5E7D">
        <w:t>Resource</w:t>
      </w:r>
      <w:r w:rsidR="004F4C5E" w:rsidRPr="008A5E7D">
        <w:t>s required to manage interfaces</w:t>
      </w:r>
    </w:p>
    <w:p w14:paraId="2102965C" w14:textId="77777777" w:rsidR="00EA2828" w:rsidRPr="008A5E7D" w:rsidRDefault="00EA2828" w:rsidP="00D93EC1">
      <w:pPr>
        <w:pStyle w:val="Bullet1"/>
        <w:numPr>
          <w:ilvl w:val="0"/>
          <w:numId w:val="7"/>
        </w:numPr>
        <w:spacing w:line="360" w:lineRule="auto"/>
      </w:pPr>
      <w:r w:rsidRPr="008A5E7D">
        <w:t>Liaison requirements with local managers, tenants, the Local Authority, service providers,</w:t>
      </w:r>
      <w:r w:rsidR="004F4C5E" w:rsidRPr="008A5E7D">
        <w:t xml:space="preserve"> the Health and Safety Executive and emergency services</w:t>
      </w:r>
    </w:p>
    <w:p w14:paraId="2102965D" w14:textId="77777777" w:rsidR="003B211E" w:rsidRPr="008A5E7D" w:rsidRDefault="00EA2828" w:rsidP="00D93EC1">
      <w:pPr>
        <w:pStyle w:val="Bullet1"/>
        <w:numPr>
          <w:ilvl w:val="0"/>
          <w:numId w:val="7"/>
        </w:numPr>
        <w:spacing w:line="360" w:lineRule="auto"/>
      </w:pPr>
      <w:r w:rsidRPr="008A5E7D">
        <w:t>Appro</w:t>
      </w:r>
      <w:r w:rsidR="004F4C5E" w:rsidRPr="008A5E7D">
        <w:t>val procedures and requirements</w:t>
      </w:r>
    </w:p>
    <w:p w14:paraId="2102965E" w14:textId="77777777" w:rsidR="00EA2828" w:rsidRDefault="00EA2828" w:rsidP="00D93EC1">
      <w:pPr>
        <w:pStyle w:val="Bullet1"/>
        <w:numPr>
          <w:ilvl w:val="0"/>
          <w:numId w:val="7"/>
        </w:numPr>
        <w:spacing w:line="360" w:lineRule="auto"/>
      </w:pPr>
      <w:r w:rsidRPr="008A5E7D">
        <w:t>Bo</w:t>
      </w:r>
      <w:r w:rsidR="004F4C5E" w:rsidRPr="008A5E7D">
        <w:t>undaries with other contractors</w:t>
      </w:r>
      <w:r w:rsidR="008A5E7D">
        <w:t>.</w:t>
      </w:r>
    </w:p>
    <w:p w14:paraId="2102965F" w14:textId="77777777" w:rsidR="00EA2828" w:rsidRPr="002F04AE" w:rsidRDefault="00DD2356" w:rsidP="00D93EC1">
      <w:pPr>
        <w:pStyle w:val="Heading2"/>
        <w:numPr>
          <w:ilvl w:val="1"/>
          <w:numId w:val="2"/>
        </w:numPr>
        <w:spacing w:before="240" w:after="120" w:line="360" w:lineRule="auto"/>
        <w:ind w:left="0" w:hanging="753"/>
      </w:pPr>
      <w:r w:rsidRPr="002F04AE">
        <w:t>Communication, Co-ordination and C</w:t>
      </w:r>
      <w:r w:rsidR="00EA2828" w:rsidRPr="002F04AE">
        <w:t>o-operation</w:t>
      </w:r>
    </w:p>
    <w:p w14:paraId="21029660" w14:textId="77777777" w:rsidR="00EA2828" w:rsidRDefault="00EA2828" w:rsidP="006A58B2">
      <w:pPr>
        <w:spacing w:line="360" w:lineRule="auto"/>
        <w:jc w:val="both"/>
        <w:rPr>
          <w:rFonts w:cs="Arial"/>
          <w:color w:val="5F5F5F"/>
        </w:rPr>
      </w:pPr>
      <w:r w:rsidRPr="008A5E7D">
        <w:rPr>
          <w:rFonts w:cs="Arial"/>
          <w:color w:val="5F5F5F"/>
        </w:rPr>
        <w:t>The management arrangements should include details of how communication, co-ordination and co-operation between the client representati</w:t>
      </w:r>
      <w:r w:rsidR="00DD2356" w:rsidRPr="008A5E7D">
        <w:rPr>
          <w:rFonts w:cs="Arial"/>
          <w:color w:val="5F5F5F"/>
        </w:rPr>
        <w:t xml:space="preserve">ve, project manager, </w:t>
      </w:r>
      <w:r w:rsidR="00CC43A0" w:rsidRPr="008A5E7D">
        <w:rPr>
          <w:rFonts w:cs="Arial"/>
          <w:color w:val="5F5F5F"/>
        </w:rPr>
        <w:t>principal designer</w:t>
      </w:r>
      <w:r w:rsidRPr="008A5E7D">
        <w:rPr>
          <w:rFonts w:cs="Arial"/>
          <w:color w:val="5F5F5F"/>
        </w:rPr>
        <w:t xml:space="preserve">, designers, </w:t>
      </w:r>
      <w:r w:rsidR="00CC43A0" w:rsidRPr="008A5E7D">
        <w:rPr>
          <w:rFonts w:cs="Arial"/>
          <w:color w:val="5F5F5F"/>
        </w:rPr>
        <w:t xml:space="preserve">principal contractor, </w:t>
      </w:r>
      <w:r w:rsidRPr="008A5E7D">
        <w:rPr>
          <w:rFonts w:cs="Arial"/>
          <w:color w:val="5F5F5F"/>
        </w:rPr>
        <w:t>contractors and third parties will be facilitated and responsibility thereof.</w:t>
      </w:r>
    </w:p>
    <w:p w14:paraId="21029661" w14:textId="77777777" w:rsidR="002F04AE" w:rsidRPr="008A5E7D" w:rsidRDefault="002F04AE" w:rsidP="006A58B2">
      <w:pPr>
        <w:spacing w:line="360" w:lineRule="auto"/>
        <w:jc w:val="both"/>
        <w:rPr>
          <w:rFonts w:cs="Arial"/>
          <w:color w:val="5F5F5F"/>
        </w:rPr>
      </w:pPr>
    </w:p>
    <w:p w14:paraId="21029662" w14:textId="77777777" w:rsidR="00EA2828" w:rsidRPr="008A5E7D" w:rsidRDefault="00EA2828" w:rsidP="006A58B2">
      <w:pPr>
        <w:spacing w:after="120" w:line="360" w:lineRule="auto"/>
        <w:jc w:val="both"/>
        <w:rPr>
          <w:rFonts w:cs="Arial"/>
          <w:color w:val="5F5F5F"/>
        </w:rPr>
      </w:pPr>
      <w:r w:rsidRPr="008A5E7D">
        <w:rPr>
          <w:rFonts w:cs="Arial"/>
          <w:color w:val="5F5F5F"/>
        </w:rPr>
        <w:t>Items to be covered include:</w:t>
      </w:r>
    </w:p>
    <w:p w14:paraId="21029663" w14:textId="77777777" w:rsidR="00EA2828" w:rsidRPr="008A5E7D" w:rsidRDefault="00EA2828" w:rsidP="00D93EC1">
      <w:pPr>
        <w:pStyle w:val="Bullet1"/>
        <w:numPr>
          <w:ilvl w:val="0"/>
          <w:numId w:val="7"/>
        </w:numPr>
        <w:spacing w:line="360" w:lineRule="auto"/>
      </w:pPr>
      <w:r w:rsidRPr="008A5E7D">
        <w:t>Use of communication tools e.g. email, web-based systems</w:t>
      </w:r>
    </w:p>
    <w:p w14:paraId="21029664" w14:textId="77777777" w:rsidR="00EA2828" w:rsidRPr="008A5E7D" w:rsidRDefault="00EA2828" w:rsidP="00D93EC1">
      <w:pPr>
        <w:pStyle w:val="Bullet1"/>
        <w:numPr>
          <w:ilvl w:val="0"/>
          <w:numId w:val="7"/>
        </w:numPr>
        <w:spacing w:line="360" w:lineRule="auto"/>
      </w:pPr>
      <w:r w:rsidRPr="008A5E7D">
        <w:t>Design co-ordination e.g. meetings, drawings</w:t>
      </w:r>
    </w:p>
    <w:p w14:paraId="21029665" w14:textId="77777777" w:rsidR="00EA2828" w:rsidRPr="008A5E7D" w:rsidRDefault="00EA2828" w:rsidP="00D93EC1">
      <w:pPr>
        <w:pStyle w:val="Bullet1"/>
        <w:numPr>
          <w:ilvl w:val="0"/>
          <w:numId w:val="7"/>
        </w:numPr>
        <w:spacing w:line="360" w:lineRule="auto"/>
      </w:pPr>
      <w:r w:rsidRPr="008A5E7D">
        <w:t>Procurement of information e.g. surveys, existing data, maintenance personnel</w:t>
      </w:r>
    </w:p>
    <w:p w14:paraId="21029666" w14:textId="77777777" w:rsidR="00EA2828" w:rsidRPr="008A5E7D" w:rsidRDefault="005E3316" w:rsidP="00D93EC1">
      <w:pPr>
        <w:pStyle w:val="Bullet1"/>
        <w:numPr>
          <w:ilvl w:val="0"/>
          <w:numId w:val="7"/>
        </w:numPr>
        <w:spacing w:line="360" w:lineRule="auto"/>
      </w:pPr>
      <w:r w:rsidRPr="008A5E7D">
        <w:lastRenderedPageBreak/>
        <w:t>Distribution of information</w:t>
      </w:r>
    </w:p>
    <w:p w14:paraId="21029667" w14:textId="77777777" w:rsidR="00EA2828" w:rsidRPr="002F04AE" w:rsidRDefault="00DD2356" w:rsidP="00D93EC1">
      <w:pPr>
        <w:pStyle w:val="Heading2"/>
        <w:numPr>
          <w:ilvl w:val="1"/>
          <w:numId w:val="2"/>
        </w:numPr>
        <w:spacing w:before="240" w:after="120" w:line="360" w:lineRule="auto"/>
        <w:ind w:left="0" w:hanging="753"/>
      </w:pPr>
      <w:r w:rsidRPr="002F04AE">
        <w:t>Information on Existing H</w:t>
      </w:r>
      <w:r w:rsidR="00EA2828" w:rsidRPr="002F04AE">
        <w:t>azards</w:t>
      </w:r>
    </w:p>
    <w:p w14:paraId="21029668" w14:textId="77777777" w:rsidR="00EA2828" w:rsidRPr="008A5E7D" w:rsidRDefault="00EA2828" w:rsidP="006A58B2">
      <w:pPr>
        <w:spacing w:after="120" w:line="360" w:lineRule="auto"/>
        <w:jc w:val="both"/>
        <w:rPr>
          <w:rFonts w:cs="Arial"/>
          <w:color w:val="5F5F5F"/>
        </w:rPr>
      </w:pPr>
      <w:r w:rsidRPr="008A5E7D">
        <w:rPr>
          <w:rFonts w:cs="Arial"/>
          <w:color w:val="5F5F5F"/>
        </w:rPr>
        <w:t>The designers should identify hazards that may have a significant impact on the project.  These hazards are likely to result from many sources including:</w:t>
      </w:r>
    </w:p>
    <w:p w14:paraId="21029669" w14:textId="77777777" w:rsidR="00EA2828" w:rsidRPr="008A5E7D" w:rsidRDefault="00EA2828" w:rsidP="00D93EC1">
      <w:pPr>
        <w:pStyle w:val="Bullet1"/>
        <w:numPr>
          <w:ilvl w:val="0"/>
          <w:numId w:val="7"/>
        </w:numPr>
        <w:spacing w:line="360" w:lineRule="auto"/>
      </w:pPr>
      <w:r w:rsidRPr="008A5E7D">
        <w:t>Works within o</w:t>
      </w:r>
      <w:r w:rsidR="003B211E" w:rsidRPr="008A5E7D">
        <w:t>r adjacent to occupied premises</w:t>
      </w:r>
    </w:p>
    <w:p w14:paraId="2102966A" w14:textId="77777777" w:rsidR="00EA2828" w:rsidRPr="008A5E7D" w:rsidRDefault="00EA2828" w:rsidP="00D93EC1">
      <w:pPr>
        <w:pStyle w:val="Bullet1"/>
        <w:numPr>
          <w:ilvl w:val="0"/>
          <w:numId w:val="7"/>
        </w:numPr>
        <w:spacing w:line="360" w:lineRule="auto"/>
      </w:pPr>
      <w:r w:rsidRPr="008A5E7D">
        <w:t>Works wit</w:t>
      </w:r>
      <w:r w:rsidR="003B211E" w:rsidRPr="008A5E7D">
        <w:t>hin or adjacent to public areas</w:t>
      </w:r>
    </w:p>
    <w:p w14:paraId="2102966B" w14:textId="77777777" w:rsidR="00EA2828" w:rsidRPr="008A5E7D" w:rsidRDefault="00EA2828" w:rsidP="00D93EC1">
      <w:pPr>
        <w:pStyle w:val="Bullet1"/>
        <w:numPr>
          <w:ilvl w:val="0"/>
          <w:numId w:val="7"/>
        </w:numPr>
        <w:spacing w:line="360" w:lineRule="auto"/>
      </w:pPr>
      <w:r w:rsidRPr="008A5E7D">
        <w:t>Works that</w:t>
      </w:r>
      <w:r w:rsidR="003B211E" w:rsidRPr="008A5E7D">
        <w:t xml:space="preserve"> affect emergency escape routes</w:t>
      </w:r>
    </w:p>
    <w:p w14:paraId="2102966C" w14:textId="77777777" w:rsidR="00EA2828" w:rsidRPr="008A5E7D" w:rsidRDefault="00EA2828" w:rsidP="00D93EC1">
      <w:pPr>
        <w:pStyle w:val="Bullet1"/>
        <w:numPr>
          <w:ilvl w:val="0"/>
          <w:numId w:val="7"/>
        </w:numPr>
        <w:spacing w:line="360" w:lineRule="auto"/>
      </w:pPr>
      <w:r w:rsidRPr="008A5E7D">
        <w:t>Works that are undertaken concurrently i</w:t>
      </w:r>
      <w:r w:rsidR="003B211E" w:rsidRPr="008A5E7D">
        <w:t>n close proximity to each other</w:t>
      </w:r>
    </w:p>
    <w:p w14:paraId="2102966D" w14:textId="77777777" w:rsidR="00EA2828" w:rsidRPr="008A5E7D" w:rsidRDefault="00EA2828" w:rsidP="00D93EC1">
      <w:pPr>
        <w:pStyle w:val="Bullet1"/>
        <w:numPr>
          <w:ilvl w:val="0"/>
          <w:numId w:val="7"/>
        </w:numPr>
        <w:spacing w:line="360" w:lineRule="auto"/>
      </w:pPr>
      <w:r w:rsidRPr="008A5E7D">
        <w:t>Works that involve significan</w:t>
      </w:r>
      <w:r w:rsidR="003B211E" w:rsidRPr="008A5E7D">
        <w:t>t risk to operatives</w:t>
      </w:r>
    </w:p>
    <w:p w14:paraId="2102966E" w14:textId="77777777" w:rsidR="00EA2828" w:rsidRPr="008A5E7D" w:rsidRDefault="00EA2828" w:rsidP="00D93EC1">
      <w:pPr>
        <w:pStyle w:val="Bullet1"/>
        <w:numPr>
          <w:ilvl w:val="0"/>
          <w:numId w:val="7"/>
        </w:numPr>
        <w:spacing w:line="360" w:lineRule="auto"/>
      </w:pPr>
      <w:r w:rsidRPr="008A5E7D">
        <w:t>Maintenance, cleaning or demolition activities that will req</w:t>
      </w:r>
      <w:r w:rsidR="003B211E" w:rsidRPr="008A5E7D">
        <w:t>uire specific control measures</w:t>
      </w:r>
    </w:p>
    <w:p w14:paraId="2102966F" w14:textId="77777777" w:rsidR="00EA2828" w:rsidRPr="002F04AE" w:rsidRDefault="00DD2356" w:rsidP="00D93EC1">
      <w:pPr>
        <w:pStyle w:val="Heading2"/>
        <w:numPr>
          <w:ilvl w:val="1"/>
          <w:numId w:val="2"/>
        </w:numPr>
        <w:spacing w:before="240" w:after="120" w:line="360" w:lineRule="auto"/>
        <w:ind w:left="0" w:hanging="753"/>
      </w:pPr>
      <w:r w:rsidRPr="002F04AE">
        <w:t>Change M</w:t>
      </w:r>
      <w:r w:rsidR="00EA2828" w:rsidRPr="002F04AE">
        <w:t>anagement</w:t>
      </w:r>
    </w:p>
    <w:p w14:paraId="21029670" w14:textId="77777777" w:rsidR="00EA2828" w:rsidRPr="008A5E7D" w:rsidRDefault="00EA2828" w:rsidP="006A58B2">
      <w:pPr>
        <w:spacing w:line="360" w:lineRule="auto"/>
        <w:jc w:val="both"/>
        <w:rPr>
          <w:rFonts w:cs="Arial"/>
          <w:color w:val="5F5F5F"/>
        </w:rPr>
      </w:pPr>
      <w:r w:rsidRPr="008A5E7D">
        <w:rPr>
          <w:rFonts w:cs="Arial"/>
          <w:color w:val="5F5F5F"/>
        </w:rPr>
        <w:t xml:space="preserve">The management arrangements should include procedures to review the design as it develops and how to manage residual health and safety risks.  The management arrangements should also include procedures for managing future design changes where there are potential implications to health and safety, e.g. there could be a section on health and safety on architect’s instructions and the </w:t>
      </w:r>
      <w:r w:rsidR="004F4C5E" w:rsidRPr="008A5E7D">
        <w:rPr>
          <w:rFonts w:cs="Arial"/>
          <w:color w:val="5F5F5F"/>
        </w:rPr>
        <w:t xml:space="preserve">project quantity surveyor’s </w:t>
      </w:r>
      <w:r w:rsidRPr="008A5E7D">
        <w:rPr>
          <w:rFonts w:cs="Arial"/>
          <w:color w:val="5F5F5F"/>
        </w:rPr>
        <w:t>change control forms.</w:t>
      </w:r>
    </w:p>
    <w:p w14:paraId="21029671" w14:textId="77777777" w:rsidR="00EA2828" w:rsidRPr="002F04AE" w:rsidRDefault="00B137AD" w:rsidP="00D93EC1">
      <w:pPr>
        <w:pStyle w:val="Heading2"/>
        <w:numPr>
          <w:ilvl w:val="1"/>
          <w:numId w:val="2"/>
        </w:numPr>
        <w:spacing w:before="240" w:after="120" w:line="360" w:lineRule="auto"/>
        <w:ind w:left="0" w:hanging="753"/>
      </w:pPr>
      <w:r w:rsidRPr="002F04AE">
        <w:t>Health and Safety File</w:t>
      </w:r>
    </w:p>
    <w:p w14:paraId="21029672" w14:textId="77777777" w:rsidR="00EA2828" w:rsidRPr="008A5E7D" w:rsidRDefault="00EA2828" w:rsidP="006A58B2">
      <w:pPr>
        <w:spacing w:after="120" w:line="360" w:lineRule="auto"/>
        <w:jc w:val="both"/>
        <w:rPr>
          <w:rFonts w:cs="Arial"/>
          <w:color w:val="5F5F5F"/>
        </w:rPr>
      </w:pPr>
      <w:r w:rsidRPr="008A5E7D">
        <w:rPr>
          <w:rFonts w:cs="Arial"/>
          <w:color w:val="5F5F5F"/>
        </w:rPr>
        <w:t>The management arrangements should include the following:</w:t>
      </w:r>
    </w:p>
    <w:p w14:paraId="21029673" w14:textId="77777777" w:rsidR="00EA2828" w:rsidRPr="008A5E7D" w:rsidRDefault="004F4C5E" w:rsidP="00D93EC1">
      <w:pPr>
        <w:pStyle w:val="Bullet1"/>
        <w:numPr>
          <w:ilvl w:val="0"/>
          <w:numId w:val="7"/>
        </w:numPr>
        <w:spacing w:line="360" w:lineRule="auto"/>
      </w:pPr>
      <w:r w:rsidRPr="008A5E7D">
        <w:t>The format of the H</w:t>
      </w:r>
      <w:r w:rsidR="00EA2828" w:rsidRPr="008A5E7D">
        <w:t xml:space="preserve">ealth and </w:t>
      </w:r>
      <w:r w:rsidRPr="008A5E7D">
        <w:t>Safety File or of the B</w:t>
      </w:r>
      <w:r w:rsidR="00EA2828" w:rsidRPr="008A5E7D">
        <w:t xml:space="preserve">uilding </w:t>
      </w:r>
      <w:r w:rsidRPr="008A5E7D">
        <w:t>Manual (incorporating the Health and S</w:t>
      </w:r>
      <w:r w:rsidR="00D93B68">
        <w:t>afety F</w:t>
      </w:r>
      <w:r w:rsidR="00EA2828" w:rsidRPr="008A5E7D">
        <w:t>ile)</w:t>
      </w:r>
    </w:p>
    <w:p w14:paraId="21029674" w14:textId="77777777" w:rsidR="004F4C5E" w:rsidRPr="008A5E7D" w:rsidRDefault="004F4C5E" w:rsidP="00D93EC1">
      <w:pPr>
        <w:pStyle w:val="Bullet1"/>
        <w:numPr>
          <w:ilvl w:val="0"/>
          <w:numId w:val="7"/>
        </w:numPr>
        <w:spacing w:line="360" w:lineRule="auto"/>
      </w:pPr>
      <w:r w:rsidRPr="008A5E7D">
        <w:t>Responsibility for preparing</w:t>
      </w:r>
    </w:p>
    <w:p w14:paraId="21029675" w14:textId="77777777" w:rsidR="00EA2828" w:rsidRPr="008A5E7D" w:rsidRDefault="00EA2828" w:rsidP="00D93EC1">
      <w:pPr>
        <w:pStyle w:val="Bullet1"/>
        <w:numPr>
          <w:ilvl w:val="0"/>
          <w:numId w:val="7"/>
        </w:numPr>
        <w:spacing w:line="360" w:lineRule="auto"/>
      </w:pPr>
      <w:r w:rsidRPr="008A5E7D">
        <w:t>When and by whom information is to be provided</w:t>
      </w:r>
    </w:p>
    <w:p w14:paraId="21029676" w14:textId="77777777" w:rsidR="00EA2828" w:rsidRPr="008A5E7D" w:rsidRDefault="00EA2828" w:rsidP="00D93EC1">
      <w:pPr>
        <w:pStyle w:val="Bullet1"/>
        <w:numPr>
          <w:ilvl w:val="0"/>
          <w:numId w:val="7"/>
        </w:numPr>
        <w:spacing w:line="360" w:lineRule="auto"/>
      </w:pPr>
      <w:r w:rsidRPr="008A5E7D">
        <w:t>Any review procedures</w:t>
      </w:r>
    </w:p>
    <w:p w14:paraId="21029677" w14:textId="77777777" w:rsidR="00EA2828" w:rsidRPr="008A5E7D" w:rsidRDefault="00EA2828" w:rsidP="00D93EC1">
      <w:pPr>
        <w:pStyle w:val="Bullet1"/>
        <w:numPr>
          <w:ilvl w:val="0"/>
          <w:numId w:val="7"/>
        </w:numPr>
        <w:spacing w:line="360" w:lineRule="auto"/>
      </w:pPr>
      <w:r w:rsidRPr="008A5E7D">
        <w:t>The number of copies required and their medium</w:t>
      </w:r>
    </w:p>
    <w:p w14:paraId="21029678" w14:textId="77777777" w:rsidR="00EA2828" w:rsidRPr="008A5E7D" w:rsidRDefault="00EA2828" w:rsidP="00D93EC1">
      <w:pPr>
        <w:pStyle w:val="Bullet1"/>
        <w:numPr>
          <w:ilvl w:val="0"/>
          <w:numId w:val="7"/>
        </w:numPr>
        <w:spacing w:line="360" w:lineRule="auto"/>
      </w:pPr>
      <w:r w:rsidRPr="008A5E7D">
        <w:t>To whom the file is to be delivered</w:t>
      </w:r>
    </w:p>
    <w:p w14:paraId="21029679" w14:textId="77777777" w:rsidR="00EA2828" w:rsidRPr="002F04AE" w:rsidRDefault="00EA2828" w:rsidP="00D93EC1">
      <w:pPr>
        <w:pStyle w:val="Heading2"/>
        <w:numPr>
          <w:ilvl w:val="1"/>
          <w:numId w:val="2"/>
        </w:numPr>
        <w:spacing w:before="240" w:after="120" w:line="360" w:lineRule="auto"/>
        <w:ind w:left="0" w:hanging="753"/>
      </w:pPr>
      <w:r w:rsidRPr="002F04AE">
        <w:lastRenderedPageBreak/>
        <w:t>Monitoring and Review</w:t>
      </w:r>
    </w:p>
    <w:p w14:paraId="2102967A" w14:textId="77777777" w:rsidR="00EA2828" w:rsidRPr="008A5E7D" w:rsidRDefault="00EA2828" w:rsidP="006A58B2">
      <w:pPr>
        <w:spacing w:after="120" w:line="360" w:lineRule="auto"/>
        <w:jc w:val="both"/>
        <w:rPr>
          <w:rFonts w:cs="Arial"/>
          <w:color w:val="5F5F5F"/>
        </w:rPr>
      </w:pPr>
      <w:r w:rsidRPr="008A5E7D">
        <w:rPr>
          <w:rFonts w:cs="Arial"/>
          <w:color w:val="5F5F5F"/>
        </w:rPr>
        <w:t>The management arrangements should lay down the requirements for monitoring, auditing and review by:</w:t>
      </w:r>
    </w:p>
    <w:p w14:paraId="2102967B" w14:textId="77777777" w:rsidR="00EA2828" w:rsidRPr="008A5E7D" w:rsidRDefault="00EA2828" w:rsidP="00D93EC1">
      <w:pPr>
        <w:pStyle w:val="Bullet1"/>
        <w:numPr>
          <w:ilvl w:val="0"/>
          <w:numId w:val="7"/>
        </w:numPr>
        <w:spacing w:line="360" w:lineRule="auto"/>
      </w:pPr>
      <w:r w:rsidRPr="008A5E7D">
        <w:t>Contractors on their own operations</w:t>
      </w:r>
    </w:p>
    <w:p w14:paraId="2102967C" w14:textId="77777777" w:rsidR="00EA2828" w:rsidRPr="008A5E7D" w:rsidRDefault="00EA2828" w:rsidP="00D93EC1">
      <w:pPr>
        <w:pStyle w:val="Bullet1"/>
        <w:numPr>
          <w:ilvl w:val="0"/>
          <w:numId w:val="7"/>
        </w:numPr>
        <w:spacing w:line="360" w:lineRule="auto"/>
      </w:pPr>
      <w:r w:rsidRPr="008A5E7D">
        <w:t>The client on</w:t>
      </w:r>
      <w:r w:rsidR="00FB2B96" w:rsidRPr="008A5E7D">
        <w:t xml:space="preserve"> other duty holders including </w:t>
      </w:r>
      <w:r w:rsidR="00407130" w:rsidRPr="008A5E7D">
        <w:t>p</w:t>
      </w:r>
      <w:r w:rsidR="00FB2B96" w:rsidRPr="008A5E7D">
        <w:t xml:space="preserve">rincipal </w:t>
      </w:r>
      <w:r w:rsidR="00407130" w:rsidRPr="008A5E7D">
        <w:t>designer and principal c</w:t>
      </w:r>
      <w:r w:rsidR="00FB2B96" w:rsidRPr="008A5E7D">
        <w:t>ontractor</w:t>
      </w:r>
    </w:p>
    <w:p w14:paraId="2102967D" w14:textId="77777777" w:rsidR="00EA2828" w:rsidRPr="008A5E7D" w:rsidRDefault="00EA2828" w:rsidP="00D93EC1">
      <w:pPr>
        <w:pStyle w:val="Bullet1"/>
        <w:numPr>
          <w:ilvl w:val="0"/>
          <w:numId w:val="7"/>
        </w:numPr>
        <w:spacing w:line="360" w:lineRule="auto"/>
      </w:pPr>
      <w:r w:rsidRPr="008A5E7D">
        <w:t xml:space="preserve">The client on its own project team </w:t>
      </w:r>
    </w:p>
    <w:p w14:paraId="2102967E" w14:textId="77777777" w:rsidR="00474741" w:rsidRPr="002F04AE" w:rsidRDefault="00474741" w:rsidP="00D93EC1">
      <w:pPr>
        <w:pStyle w:val="Heading2"/>
        <w:numPr>
          <w:ilvl w:val="1"/>
          <w:numId w:val="2"/>
        </w:numPr>
        <w:spacing w:before="240" w:after="120" w:line="360" w:lineRule="auto"/>
        <w:ind w:left="0" w:hanging="753"/>
      </w:pPr>
      <w:r w:rsidRPr="002F04AE">
        <w:t xml:space="preserve">Welfare Facilities </w:t>
      </w:r>
    </w:p>
    <w:p w14:paraId="2102967F" w14:textId="77777777" w:rsidR="00474741" w:rsidRPr="008A5E7D" w:rsidRDefault="00474741" w:rsidP="006A58B2">
      <w:pPr>
        <w:spacing w:after="120" w:line="360" w:lineRule="auto"/>
        <w:jc w:val="both"/>
        <w:rPr>
          <w:rFonts w:cs="Arial"/>
          <w:color w:val="5F5F5F"/>
        </w:rPr>
      </w:pPr>
      <w:r w:rsidRPr="008A5E7D">
        <w:rPr>
          <w:rFonts w:cs="Arial"/>
          <w:color w:val="5F5F5F"/>
        </w:rPr>
        <w:t xml:space="preserve">The management arrangements should highlight who is responsible for providing suitable and sufficient welfare throughout the construction period; </w:t>
      </w:r>
    </w:p>
    <w:p w14:paraId="21029680" w14:textId="77777777" w:rsidR="00474741" w:rsidRPr="008A5E7D" w:rsidRDefault="00474741" w:rsidP="00D93EC1">
      <w:pPr>
        <w:pStyle w:val="Bullet1"/>
        <w:numPr>
          <w:ilvl w:val="0"/>
          <w:numId w:val="7"/>
        </w:numPr>
        <w:spacing w:line="360" w:lineRule="auto"/>
      </w:pPr>
      <w:r w:rsidRPr="008A5E7D">
        <w:t>To include the period when enabl</w:t>
      </w:r>
      <w:r w:rsidR="00407130" w:rsidRPr="008A5E7D">
        <w:t>ing works are to be carried out</w:t>
      </w:r>
    </w:p>
    <w:p w14:paraId="21029681" w14:textId="77777777" w:rsidR="00474741" w:rsidRDefault="00474741" w:rsidP="00D93EC1">
      <w:pPr>
        <w:pStyle w:val="Bullet1"/>
        <w:numPr>
          <w:ilvl w:val="0"/>
          <w:numId w:val="7"/>
        </w:numPr>
        <w:spacing w:line="360" w:lineRule="auto"/>
      </w:pPr>
      <w:r w:rsidRPr="008A5E7D">
        <w:t>Who is responsible for assisting the client to assure a facility is available and who is responsible for representing the client to assure this duty is carried out.</w:t>
      </w:r>
    </w:p>
    <w:p w14:paraId="21029682" w14:textId="77777777" w:rsidR="00AF5A7A" w:rsidRDefault="00AF5A7A" w:rsidP="006A58B2">
      <w:pPr>
        <w:pStyle w:val="Heading2"/>
        <w:spacing w:before="240" w:after="120" w:line="360" w:lineRule="auto"/>
      </w:pPr>
      <w:r>
        <w:t>5.</w:t>
      </w:r>
      <w:r>
        <w:tab/>
      </w:r>
      <w:r w:rsidR="00C33D1F">
        <w:t>Templates</w:t>
      </w:r>
    </w:p>
    <w:p w14:paraId="21029683" w14:textId="77777777" w:rsidR="00496FFF" w:rsidRDefault="00AF5A7A" w:rsidP="006A58B2">
      <w:pPr>
        <w:pStyle w:val="BodyText3"/>
        <w:spacing w:line="360" w:lineRule="auto"/>
        <w:jc w:val="both"/>
        <w:rPr>
          <w:rFonts w:ascii="Arial" w:hAnsi="Arial" w:cs="Arial"/>
          <w:color w:val="5F5F5F"/>
        </w:rPr>
      </w:pPr>
      <w:r w:rsidRPr="008A5E7D">
        <w:rPr>
          <w:rFonts w:ascii="Arial" w:hAnsi="Arial" w:cs="Arial"/>
          <w:color w:val="5F5F5F"/>
        </w:rPr>
        <w:t xml:space="preserve">The management arrangements that a client puts in place must be appropriate to the project.  Therefore there will be a wide range of arrangements depending on client needs and project risk.  </w:t>
      </w:r>
      <w:r w:rsidR="00496FFF">
        <w:rPr>
          <w:rFonts w:ascii="Arial" w:hAnsi="Arial" w:cs="Arial"/>
          <w:color w:val="5F5F5F"/>
        </w:rPr>
        <w:t xml:space="preserve">Two templates for the Client Project Health and Safety Management Plan </w:t>
      </w:r>
      <w:r w:rsidR="00DA1FF8">
        <w:rPr>
          <w:rFonts w:ascii="Arial" w:hAnsi="Arial" w:cs="Arial"/>
          <w:color w:val="5F5F5F"/>
        </w:rPr>
        <w:t>are</w:t>
      </w:r>
      <w:r w:rsidR="00435C31">
        <w:rPr>
          <w:rFonts w:ascii="Arial" w:hAnsi="Arial" w:cs="Arial"/>
          <w:color w:val="5F5F5F"/>
        </w:rPr>
        <w:t xml:space="preserve"> provided </w:t>
      </w:r>
      <w:r w:rsidR="00496FFF">
        <w:rPr>
          <w:rFonts w:ascii="Arial" w:hAnsi="Arial" w:cs="Arial"/>
          <w:color w:val="5F5F5F"/>
        </w:rPr>
        <w:t>within the Health and Safety Business Management System under Construction (Design and Management) Regulations 2015 / Forms</w:t>
      </w:r>
      <w:r w:rsidR="000C136D">
        <w:rPr>
          <w:rFonts w:ascii="Arial" w:hAnsi="Arial" w:cs="Arial"/>
          <w:color w:val="5F5F5F"/>
        </w:rPr>
        <w:t xml:space="preserve"> / Client:</w:t>
      </w:r>
    </w:p>
    <w:p w14:paraId="21029684" w14:textId="77777777" w:rsidR="00D93B68" w:rsidRDefault="00D93B68" w:rsidP="006A58B2">
      <w:pPr>
        <w:pStyle w:val="BodyText3"/>
        <w:spacing w:line="360" w:lineRule="auto"/>
        <w:jc w:val="both"/>
        <w:rPr>
          <w:rFonts w:ascii="Arial" w:hAnsi="Arial" w:cs="Arial"/>
          <w:color w:val="5F5F5F"/>
        </w:rPr>
      </w:pPr>
    </w:p>
    <w:p w14:paraId="21029685" w14:textId="77777777" w:rsidR="00AF5A7A" w:rsidRPr="006A58B2" w:rsidRDefault="00876C9B" w:rsidP="00D93EC1">
      <w:pPr>
        <w:pStyle w:val="ListParagraph"/>
        <w:numPr>
          <w:ilvl w:val="0"/>
          <w:numId w:val="8"/>
        </w:numPr>
        <w:spacing w:after="120" w:line="360" w:lineRule="auto"/>
        <w:jc w:val="both"/>
        <w:rPr>
          <w:rFonts w:cs="Arial"/>
          <w:color w:val="5F5F5F"/>
        </w:rPr>
      </w:pPr>
      <w:r w:rsidRPr="006A58B2">
        <w:rPr>
          <w:rFonts w:cs="Arial"/>
          <w:color w:val="5F5F5F"/>
        </w:rPr>
        <w:t>CDM 2015 - Client Project Health and Safety Management Plan for Major, Complex</w:t>
      </w:r>
      <w:r w:rsidR="00D93B68" w:rsidRPr="006A58B2">
        <w:rPr>
          <w:rFonts w:cs="Arial"/>
          <w:color w:val="5F5F5F"/>
        </w:rPr>
        <w:t xml:space="preserve"> or </w:t>
      </w:r>
      <w:r w:rsidRPr="006A58B2">
        <w:rPr>
          <w:rFonts w:cs="Arial"/>
          <w:color w:val="5F5F5F"/>
        </w:rPr>
        <w:t>High Risk Projects</w:t>
      </w:r>
    </w:p>
    <w:p w14:paraId="21029686" w14:textId="77777777" w:rsidR="00EA2828" w:rsidRPr="006A58B2" w:rsidRDefault="00876C9B" w:rsidP="00D93EC1">
      <w:pPr>
        <w:pStyle w:val="ListParagraph"/>
        <w:numPr>
          <w:ilvl w:val="0"/>
          <w:numId w:val="8"/>
        </w:numPr>
        <w:spacing w:after="120" w:line="360" w:lineRule="auto"/>
        <w:jc w:val="both"/>
        <w:rPr>
          <w:rFonts w:cs="Arial"/>
          <w:color w:val="5F5F5F"/>
          <w:szCs w:val="22"/>
        </w:rPr>
      </w:pPr>
      <w:r w:rsidRPr="006A58B2">
        <w:rPr>
          <w:rFonts w:cs="Arial"/>
          <w:color w:val="5F5F5F"/>
        </w:rPr>
        <w:t>CDM 2015 - Client Project Health and Safety Management Plan for Simple Projects</w:t>
      </w:r>
    </w:p>
    <w:sectPr w:rsidR="00EA2828" w:rsidRPr="006A58B2" w:rsidSect="00564AFB">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276" w:header="708"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9491" w14:textId="77777777" w:rsidR="00BB48A5" w:rsidRDefault="00BB48A5">
      <w:r>
        <w:separator/>
      </w:r>
    </w:p>
  </w:endnote>
  <w:endnote w:type="continuationSeparator" w:id="0">
    <w:p w14:paraId="68EBB8F0" w14:textId="77777777" w:rsidR="00BB48A5" w:rsidRDefault="00BB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3842" w14:textId="23C606CB" w:rsidR="005F4308" w:rsidRDefault="005F4308">
    <w:pPr>
      <w:pStyle w:val="Footer"/>
    </w:pPr>
    <w:r>
      <w:rPr>
        <w:noProof/>
      </w:rPr>
      <mc:AlternateContent>
        <mc:Choice Requires="wps">
          <w:drawing>
            <wp:anchor distT="0" distB="0" distL="0" distR="0" simplePos="0" relativeHeight="251660288" behindDoc="0" locked="0" layoutInCell="1" allowOverlap="1" wp14:anchorId="7EFF5E01" wp14:editId="2892C1D6">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532DF" w14:textId="4BBD8FAB" w:rsidR="005F4308" w:rsidRPr="005F4308" w:rsidRDefault="005F4308">
                          <w:pPr>
                            <w:rPr>
                              <w:rFonts w:ascii="Calibri" w:eastAsia="Calibri" w:hAnsi="Calibri" w:cs="Calibri"/>
                              <w:color w:val="000000"/>
                              <w:sz w:val="18"/>
                              <w:szCs w:val="18"/>
                            </w:rPr>
                          </w:pPr>
                          <w:r w:rsidRPr="005F4308">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FF5E01"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A4532DF" w14:textId="4BBD8FAB" w:rsidR="005F4308" w:rsidRPr="005F4308" w:rsidRDefault="005F4308">
                    <w:pPr>
                      <w:rPr>
                        <w:rFonts w:ascii="Calibri" w:eastAsia="Calibri" w:hAnsi="Calibri" w:cs="Calibri"/>
                        <w:color w:val="000000"/>
                        <w:sz w:val="18"/>
                        <w:szCs w:val="18"/>
                      </w:rPr>
                    </w:pPr>
                    <w:r w:rsidRPr="005F4308">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3258"/>
      <w:gridCol w:w="3263"/>
      <w:gridCol w:w="3250"/>
    </w:tblGrid>
    <w:tr w:rsidR="006A58B2" w14:paraId="21029693" w14:textId="77777777" w:rsidTr="006A58B2">
      <w:trPr>
        <w:trHeight w:val="227"/>
      </w:trPr>
      <w:tc>
        <w:tcPr>
          <w:tcW w:w="3322" w:type="dxa"/>
          <w:tcBorders>
            <w:top w:val="single" w:sz="4" w:space="0" w:color="CCCCCC"/>
            <w:left w:val="single" w:sz="4" w:space="0" w:color="CCCCCC"/>
            <w:bottom w:val="single" w:sz="4" w:space="0" w:color="CCCCCC"/>
            <w:right w:val="single" w:sz="4" w:space="0" w:color="CCCCCC"/>
          </w:tcBorders>
          <w:vAlign w:val="center"/>
          <w:hideMark/>
        </w:tcPr>
        <w:p w14:paraId="21029690" w14:textId="03B7213E" w:rsidR="006A58B2" w:rsidRDefault="006A58B2" w:rsidP="006A58B2">
          <w:pPr>
            <w:tabs>
              <w:tab w:val="left" w:pos="1984"/>
            </w:tabs>
            <w:rPr>
              <w:rFonts w:cs="Arial"/>
              <w:color w:val="808080"/>
              <w:kern w:val="10"/>
              <w:sz w:val="16"/>
              <w:szCs w:val="16"/>
              <w:lang w:eastAsia="en-GB"/>
            </w:rPr>
          </w:pPr>
          <w:r>
            <w:rPr>
              <w:rFonts w:cs="Arial"/>
              <w:kern w:val="10"/>
              <w:sz w:val="16"/>
              <w:szCs w:val="16"/>
              <w:lang w:eastAsia="en-GB"/>
            </w:rPr>
            <w:t>Prepared by</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21029691" w14:textId="0060D554" w:rsidR="006A58B2" w:rsidRDefault="00F03480" w:rsidP="006A58B2">
          <w:pPr>
            <w:tabs>
              <w:tab w:val="left" w:pos="1984"/>
            </w:tabs>
            <w:rPr>
              <w:rFonts w:cs="Arial"/>
              <w:color w:val="808080"/>
              <w:kern w:val="10"/>
              <w:sz w:val="16"/>
              <w:szCs w:val="16"/>
              <w:lang w:eastAsia="en-GB"/>
            </w:rPr>
          </w:pPr>
          <w:r>
            <w:rPr>
              <w:rFonts w:cs="Arial"/>
              <w:kern w:val="10"/>
              <w:sz w:val="16"/>
              <w:szCs w:val="16"/>
              <w:lang w:eastAsia="en-GB"/>
            </w:rPr>
            <w:t>Document Control Reference</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21029692" w14:textId="1893532F" w:rsidR="006A58B2" w:rsidRDefault="0028168C" w:rsidP="006A58B2">
          <w:pPr>
            <w:tabs>
              <w:tab w:val="left" w:pos="1984"/>
            </w:tabs>
            <w:rPr>
              <w:rFonts w:cs="Arial"/>
              <w:color w:val="808080"/>
              <w:kern w:val="10"/>
              <w:sz w:val="16"/>
              <w:szCs w:val="16"/>
              <w:lang w:eastAsia="en-GB"/>
            </w:rPr>
          </w:pPr>
          <w:r>
            <w:rPr>
              <w:rFonts w:cs="Arial"/>
              <w:kern w:val="10"/>
              <w:sz w:val="16"/>
              <w:szCs w:val="16"/>
              <w:lang w:eastAsia="en-GB"/>
            </w:rPr>
            <w:t xml:space="preserve">Issue </w:t>
          </w:r>
          <w:r w:rsidR="006A58B2">
            <w:rPr>
              <w:rFonts w:cs="Arial"/>
              <w:kern w:val="10"/>
              <w:sz w:val="16"/>
              <w:szCs w:val="16"/>
              <w:lang w:eastAsia="en-GB"/>
            </w:rPr>
            <w:t>Date</w:t>
          </w:r>
        </w:p>
      </w:tc>
    </w:tr>
    <w:tr w:rsidR="006A58B2" w14:paraId="21029697" w14:textId="77777777" w:rsidTr="006A58B2">
      <w:tc>
        <w:tcPr>
          <w:tcW w:w="3322" w:type="dxa"/>
          <w:tcBorders>
            <w:top w:val="single" w:sz="4" w:space="0" w:color="CCCCCC"/>
            <w:left w:val="single" w:sz="4" w:space="0" w:color="CCCCCC"/>
            <w:bottom w:val="single" w:sz="4" w:space="0" w:color="CCCCCC"/>
            <w:right w:val="single" w:sz="4" w:space="0" w:color="CCCCCC"/>
          </w:tcBorders>
          <w:vAlign w:val="center"/>
          <w:hideMark/>
        </w:tcPr>
        <w:p w14:paraId="21029694" w14:textId="0E915241" w:rsidR="006A58B2" w:rsidRDefault="00F03480" w:rsidP="006A58B2">
          <w:pPr>
            <w:tabs>
              <w:tab w:val="left" w:pos="1984"/>
            </w:tabs>
            <w:rPr>
              <w:rFonts w:cs="Arial"/>
              <w:kern w:val="10"/>
              <w:sz w:val="16"/>
              <w:szCs w:val="16"/>
              <w:lang w:eastAsia="en-GB"/>
            </w:rPr>
          </w:pPr>
          <w:r>
            <w:rPr>
              <w:rFonts w:cs="Arial"/>
              <w:kern w:val="10"/>
              <w:sz w:val="16"/>
              <w:szCs w:val="16"/>
              <w:lang w:eastAsia="en-GB"/>
            </w:rPr>
            <w:t>HSE Department</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21029695" w14:textId="6102884B" w:rsidR="006A58B2" w:rsidRPr="004F49AA" w:rsidRDefault="00842878" w:rsidP="006A58B2">
          <w:pPr>
            <w:tabs>
              <w:tab w:val="left" w:pos="1984"/>
            </w:tabs>
            <w:rPr>
              <w:rFonts w:cs="Arial"/>
              <w:kern w:val="10"/>
              <w:sz w:val="16"/>
              <w:szCs w:val="16"/>
              <w:lang w:eastAsia="en-GB"/>
            </w:rPr>
          </w:pPr>
          <w:r w:rsidRPr="004F49AA">
            <w:rPr>
              <w:rFonts w:cs="Arial"/>
              <w:kern w:val="10"/>
              <w:sz w:val="16"/>
              <w:szCs w:val="16"/>
              <w:lang w:eastAsia="en-GB"/>
            </w:rPr>
            <w:t>HSE</w:t>
          </w:r>
          <w:r w:rsidR="00F26DBB" w:rsidRPr="004F49AA">
            <w:rPr>
              <w:rFonts w:cs="Arial"/>
              <w:kern w:val="10"/>
              <w:sz w:val="16"/>
              <w:szCs w:val="16"/>
              <w:lang w:eastAsia="en-GB"/>
            </w:rPr>
            <w:t>.G.</w:t>
          </w:r>
          <w:r w:rsidR="004F49AA" w:rsidRPr="004F49AA">
            <w:rPr>
              <w:rFonts w:cs="Arial"/>
              <w:kern w:val="10"/>
              <w:sz w:val="16"/>
              <w:szCs w:val="16"/>
              <w:lang w:eastAsia="en-GB"/>
            </w:rPr>
            <w:t>038.01</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21029696" w14:textId="3D078190" w:rsidR="006A58B2" w:rsidRDefault="00842878" w:rsidP="006A58B2">
          <w:pPr>
            <w:tabs>
              <w:tab w:val="left" w:pos="1984"/>
            </w:tabs>
            <w:rPr>
              <w:rFonts w:cs="Arial"/>
              <w:color w:val="808080"/>
              <w:kern w:val="10"/>
              <w:sz w:val="16"/>
              <w:szCs w:val="16"/>
              <w:lang w:eastAsia="en-GB"/>
            </w:rPr>
          </w:pPr>
          <w:r>
            <w:rPr>
              <w:rFonts w:cs="Arial"/>
              <w:kern w:val="10"/>
              <w:sz w:val="16"/>
              <w:szCs w:val="16"/>
              <w:lang w:eastAsia="en-GB"/>
            </w:rPr>
            <w:t>April 2025</w:t>
          </w:r>
        </w:p>
      </w:tc>
    </w:tr>
    <w:tr w:rsidR="006A58B2" w14:paraId="2102969B" w14:textId="77777777" w:rsidTr="006A58B2">
      <w:tc>
        <w:tcPr>
          <w:tcW w:w="3322" w:type="dxa"/>
          <w:tcBorders>
            <w:top w:val="single" w:sz="4" w:space="0" w:color="CCCCCC"/>
            <w:left w:val="single" w:sz="4" w:space="0" w:color="CCCCCC"/>
            <w:bottom w:val="single" w:sz="4" w:space="0" w:color="CCCCCC"/>
            <w:right w:val="single" w:sz="4" w:space="0" w:color="CCCCCC"/>
          </w:tcBorders>
          <w:vAlign w:val="center"/>
          <w:hideMark/>
        </w:tcPr>
        <w:p w14:paraId="21029698" w14:textId="77777777" w:rsidR="006A58B2" w:rsidRDefault="006A58B2" w:rsidP="006A58B2">
          <w:pPr>
            <w:tabs>
              <w:tab w:val="left" w:pos="1984"/>
            </w:tabs>
            <w:rPr>
              <w:rFonts w:cs="Arial"/>
              <w:color w:val="808080"/>
              <w:kern w:val="10"/>
              <w:sz w:val="16"/>
              <w:szCs w:val="16"/>
              <w:lang w:eastAsia="en-GB"/>
            </w:rPr>
          </w:pPr>
          <w:r>
            <w:rPr>
              <w:rFonts w:cs="Arial"/>
              <w:kern w:val="10"/>
              <w:sz w:val="16"/>
              <w:szCs w:val="16"/>
              <w:lang w:eastAsia="en-GB"/>
            </w:rPr>
            <w:t>Issue Number 1</w:t>
          </w:r>
        </w:p>
      </w:tc>
      <w:tc>
        <w:tcPr>
          <w:tcW w:w="3322" w:type="dxa"/>
          <w:tcBorders>
            <w:top w:val="single" w:sz="4" w:space="0" w:color="CCCCCC"/>
            <w:left w:val="single" w:sz="4" w:space="0" w:color="CCCCCC"/>
            <w:bottom w:val="single" w:sz="4" w:space="0" w:color="CCCCCC"/>
            <w:right w:val="single" w:sz="4" w:space="0" w:color="CCCCCC"/>
          </w:tcBorders>
          <w:vAlign w:val="center"/>
          <w:hideMark/>
        </w:tcPr>
        <w:p w14:paraId="21029699" w14:textId="08B9D614" w:rsidR="006A58B2" w:rsidRDefault="006A58B2" w:rsidP="006A58B2">
          <w:pPr>
            <w:tabs>
              <w:tab w:val="left" w:pos="1984"/>
            </w:tabs>
            <w:rPr>
              <w:rFonts w:cs="Arial"/>
              <w:color w:val="808080"/>
              <w:kern w:val="10"/>
              <w:sz w:val="16"/>
              <w:szCs w:val="16"/>
              <w:lang w:eastAsia="en-GB"/>
            </w:rPr>
          </w:pPr>
          <w:r>
            <w:rPr>
              <w:rFonts w:cs="Arial"/>
              <w:kern w:val="10"/>
              <w:sz w:val="16"/>
              <w:szCs w:val="16"/>
              <w:lang w:eastAsia="en-GB"/>
            </w:rPr>
            <w:t xml:space="preserve">Last Reviewed </w:t>
          </w:r>
          <w:r w:rsidR="00722E78">
            <w:rPr>
              <w:rFonts w:cs="Arial"/>
              <w:kern w:val="10"/>
              <w:sz w:val="16"/>
              <w:szCs w:val="16"/>
              <w:lang w:eastAsia="en-GB"/>
            </w:rPr>
            <w:t>April 2025</w:t>
          </w:r>
        </w:p>
      </w:tc>
      <w:tc>
        <w:tcPr>
          <w:tcW w:w="3323" w:type="dxa"/>
          <w:tcBorders>
            <w:top w:val="single" w:sz="4" w:space="0" w:color="CCCCCC"/>
            <w:left w:val="single" w:sz="4" w:space="0" w:color="CCCCCC"/>
            <w:bottom w:val="single" w:sz="4" w:space="0" w:color="CCCCCC"/>
            <w:right w:val="single" w:sz="4" w:space="0" w:color="CCCCCC"/>
          </w:tcBorders>
          <w:vAlign w:val="center"/>
          <w:hideMark/>
        </w:tcPr>
        <w:p w14:paraId="2102969A" w14:textId="44CA4292" w:rsidR="006A58B2" w:rsidRDefault="006A58B2" w:rsidP="006A58B2">
          <w:pPr>
            <w:tabs>
              <w:tab w:val="left" w:pos="1984"/>
            </w:tabs>
            <w:rPr>
              <w:rFonts w:cs="Arial"/>
              <w:color w:val="808080"/>
              <w:kern w:val="10"/>
              <w:sz w:val="16"/>
              <w:szCs w:val="16"/>
              <w:lang w:eastAsia="en-GB"/>
            </w:rPr>
          </w:pPr>
          <w:r>
            <w:rPr>
              <w:rFonts w:cs="Arial"/>
              <w:kern w:val="10"/>
              <w:sz w:val="16"/>
              <w:szCs w:val="16"/>
              <w:lang w:eastAsia="en-GB"/>
            </w:rPr>
            <w:t xml:space="preserve">Next Review </w:t>
          </w:r>
          <w:r w:rsidR="00722E78">
            <w:rPr>
              <w:rFonts w:cs="Arial"/>
              <w:kern w:val="10"/>
              <w:sz w:val="16"/>
              <w:szCs w:val="16"/>
              <w:lang w:eastAsia="en-GB"/>
            </w:rPr>
            <w:t>April 2028</w:t>
          </w:r>
        </w:p>
      </w:tc>
    </w:tr>
  </w:tbl>
  <w:p w14:paraId="2102969C" w14:textId="77777777" w:rsidR="001A00A1" w:rsidRPr="002E7566" w:rsidRDefault="001A00A1" w:rsidP="001A00A1">
    <w:pPr>
      <w:pStyle w:val="TableTextCentred"/>
      <w:rPr>
        <w:b/>
        <w:noProof/>
        <w:sz w:val="22"/>
        <w:szCs w:val="22"/>
      </w:rPr>
    </w:pPr>
    <w:r w:rsidRPr="001F7CA7">
      <w:rPr>
        <w:rStyle w:val="Bold"/>
        <w:sz w:val="22"/>
        <w:szCs w:val="22"/>
      </w:rPr>
      <w:t>UNCONTROLLED COPY IF PRINTED OR DOWNLOADED</w:t>
    </w:r>
    <w:r w:rsidR="00665471">
      <w:rPr>
        <w:noProof/>
      </w:rPr>
      <mc:AlternateContent>
        <mc:Choice Requires="wps">
          <w:drawing>
            <wp:anchor distT="0" distB="0" distL="114300" distR="114300" simplePos="0" relativeHeight="251657216" behindDoc="0" locked="0" layoutInCell="1" allowOverlap="1" wp14:anchorId="2102969F" wp14:editId="210296A0">
              <wp:simplePos x="0" y="0"/>
              <wp:positionH relativeFrom="column">
                <wp:posOffset>-465455</wp:posOffset>
              </wp:positionH>
              <wp:positionV relativeFrom="paragraph">
                <wp:posOffset>176530</wp:posOffset>
              </wp:positionV>
              <wp:extent cx="6391275" cy="635"/>
              <wp:effectExtent l="0" t="0" r="0" b="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9127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9A51740" id="_x0000_t32" coordsize="21600,21600" o:spt="32" o:oned="t" path="m,l21600,21600e" filled="f">
              <v:path arrowok="t" fillok="f" o:connecttype="none"/>
              <o:lock v:ext="edit" shapetype="t"/>
            </v:shapetype>
            <v:shape id="AutoShape 57" o:spid="_x0000_s1026" type="#_x0000_t32" style="position:absolute;margin-left:-36.65pt;margin-top:13.9pt;width:503.25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"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5AC4" w14:textId="592B1CA3" w:rsidR="005F4308" w:rsidRDefault="005F4308">
    <w:pPr>
      <w:pStyle w:val="Footer"/>
    </w:pPr>
    <w:r>
      <w:rPr>
        <w:noProof/>
      </w:rPr>
      <mc:AlternateContent>
        <mc:Choice Requires="wps">
          <w:drawing>
            <wp:anchor distT="0" distB="0" distL="0" distR="0" simplePos="0" relativeHeight="251659264" behindDoc="0" locked="0" layoutInCell="1" allowOverlap="1" wp14:anchorId="65F67573" wp14:editId="56ACC5A5">
              <wp:simplePos x="635" y="635"/>
              <wp:positionH relativeFrom="column">
                <wp:align>center</wp:align>
              </wp:positionH>
              <wp:positionV relativeFrom="paragraph">
                <wp:posOffset>635</wp:posOffset>
              </wp:positionV>
              <wp:extent cx="443865" cy="443865"/>
              <wp:effectExtent l="0" t="0" r="15875" b="12700"/>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4715D" w14:textId="13ADCAF0" w:rsidR="005F4308" w:rsidRPr="005F4308" w:rsidRDefault="005F4308">
                          <w:pPr>
                            <w:rPr>
                              <w:rFonts w:ascii="Calibri" w:eastAsia="Calibri" w:hAnsi="Calibri" w:cs="Calibri"/>
                              <w:color w:val="000000"/>
                              <w:sz w:val="18"/>
                              <w:szCs w:val="18"/>
                            </w:rPr>
                          </w:pPr>
                          <w:r w:rsidRPr="005F4308">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F67573" id="_x0000_t202" coordsize="21600,21600" o:spt="202" path="m,l,21600r21600,l21600,xe">
              <v:stroke joinstyle="miter"/>
              <v:path gradientshapeok="t" o:connecttype="rect"/>
            </v:shapetype>
            <v:shape id="Text Box 2"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3F4715D" w14:textId="13ADCAF0" w:rsidR="005F4308" w:rsidRPr="005F4308" w:rsidRDefault="005F4308">
                    <w:pPr>
                      <w:rPr>
                        <w:rFonts w:ascii="Calibri" w:eastAsia="Calibri" w:hAnsi="Calibri" w:cs="Calibri"/>
                        <w:color w:val="000000"/>
                        <w:sz w:val="18"/>
                        <w:szCs w:val="18"/>
                      </w:rPr>
                    </w:pPr>
                    <w:r w:rsidRPr="005F4308">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5820" w14:textId="77777777" w:rsidR="00BB48A5" w:rsidRDefault="00BB48A5">
      <w:r>
        <w:separator/>
      </w:r>
    </w:p>
  </w:footnote>
  <w:footnote w:type="continuationSeparator" w:id="0">
    <w:p w14:paraId="0FD478D8" w14:textId="77777777" w:rsidR="00BB48A5" w:rsidRDefault="00BB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36BB" w14:textId="77777777" w:rsidR="004F49AA" w:rsidRDefault="004F4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968B" w14:textId="77777777" w:rsidR="006A58B2" w:rsidRDefault="006A58B2" w:rsidP="006A58B2">
    <w:pPr>
      <w:pStyle w:val="Heading1"/>
      <w:spacing w:before="0" w:after="360"/>
    </w:pPr>
  </w:p>
  <w:p w14:paraId="2102968C" w14:textId="77777777" w:rsidR="006A58B2" w:rsidRDefault="006A58B2" w:rsidP="006A58B2">
    <w:pPr>
      <w:pStyle w:val="Header"/>
      <w:jc w:val="right"/>
      <w:rPr>
        <w:rFonts w:ascii="Arial" w:eastAsia="Calibri" w:hAnsi="Arial" w:cs="Arial"/>
        <w:sz w:val="36"/>
        <w:szCs w:val="36"/>
      </w:rPr>
    </w:pPr>
    <w:r>
      <w:rPr>
        <w:noProof/>
        <w:lang w:eastAsia="en-GB"/>
      </w:rPr>
      <w:drawing>
        <wp:anchor distT="0" distB="0" distL="114300" distR="114300" simplePos="0" relativeHeight="251658240" behindDoc="0" locked="0" layoutInCell="1" allowOverlap="1" wp14:anchorId="2102969D" wp14:editId="2102969E">
          <wp:simplePos x="0" y="0"/>
          <wp:positionH relativeFrom="column">
            <wp:posOffset>-647700</wp:posOffset>
          </wp:positionH>
          <wp:positionV relativeFrom="paragraph">
            <wp:posOffset>-443230</wp:posOffset>
          </wp:positionV>
          <wp:extent cx="1495425" cy="933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6"/>
        <w:szCs w:val="36"/>
      </w:rPr>
      <w:t>Health Safety and Environment</w:t>
    </w:r>
  </w:p>
  <w:p w14:paraId="2102968D" w14:textId="77777777" w:rsidR="006A58B2" w:rsidRDefault="006A58B2" w:rsidP="006A58B2">
    <w:pPr>
      <w:keepNext/>
      <w:outlineLvl w:val="0"/>
      <w:rPr>
        <w:rFonts w:eastAsia="Calibri" w:cs="Arial"/>
        <w:b/>
        <w:color w:val="403387"/>
        <w:szCs w:val="22"/>
      </w:rPr>
    </w:pPr>
  </w:p>
  <w:p w14:paraId="2102968F" w14:textId="77777777" w:rsidR="00383688" w:rsidRPr="006A58B2" w:rsidRDefault="00A52E15" w:rsidP="006A58B2">
    <w:pPr>
      <w:pStyle w:val="Heading1"/>
      <w:spacing w:before="0" w:after="360"/>
      <w:jc w:val="right"/>
      <w:rPr>
        <w:rFonts w:asciiTheme="minorHAnsi" w:eastAsiaTheme="minorHAnsi" w:hAnsiTheme="minorHAnsi" w:cstheme="minorBidi"/>
        <w:b w:val="0"/>
        <w:color w:val="C45911" w:themeColor="accent2" w:themeShade="BF"/>
        <w:sz w:val="36"/>
        <w:szCs w:val="36"/>
        <w:lang w:val="en-US"/>
      </w:rPr>
    </w:pPr>
    <w:r w:rsidRPr="006A58B2">
      <w:rPr>
        <w:rFonts w:asciiTheme="minorHAnsi" w:eastAsiaTheme="minorHAnsi" w:hAnsiTheme="minorHAnsi" w:cstheme="minorBidi"/>
        <w:b w:val="0"/>
        <w:color w:val="C45911" w:themeColor="accent2" w:themeShade="BF"/>
        <w:sz w:val="36"/>
        <w:szCs w:val="36"/>
        <w:lang w:val="en-US"/>
      </w:rPr>
      <w:t xml:space="preserve">CDM 2015 - </w:t>
    </w:r>
    <w:r w:rsidR="00383688" w:rsidRPr="006A58B2">
      <w:rPr>
        <w:rFonts w:asciiTheme="minorHAnsi" w:eastAsiaTheme="minorHAnsi" w:hAnsiTheme="minorHAnsi" w:cstheme="minorBidi"/>
        <w:b w:val="0"/>
        <w:color w:val="C45911" w:themeColor="accent2" w:themeShade="BF"/>
        <w:sz w:val="36"/>
        <w:szCs w:val="36"/>
        <w:lang w:val="en-US"/>
      </w:rPr>
      <w:t xml:space="preserve">Client Project Health and Safety </w:t>
    </w:r>
    <w:r w:rsidR="007E697C" w:rsidRPr="006A58B2">
      <w:rPr>
        <w:rFonts w:asciiTheme="minorHAnsi" w:eastAsiaTheme="minorHAnsi" w:hAnsiTheme="minorHAnsi" w:cstheme="minorBidi"/>
        <w:b w:val="0"/>
        <w:color w:val="C45911" w:themeColor="accent2" w:themeShade="BF"/>
        <w:sz w:val="36"/>
        <w:szCs w:val="36"/>
        <w:lang w:val="en-US"/>
      </w:rPr>
      <w:t>Management Arrangements G</w:t>
    </w:r>
    <w:r w:rsidR="008A5E7D" w:rsidRPr="006A58B2">
      <w:rPr>
        <w:rFonts w:asciiTheme="minorHAnsi" w:eastAsiaTheme="minorHAnsi" w:hAnsiTheme="minorHAnsi" w:cstheme="minorBidi"/>
        <w:b w:val="0"/>
        <w:color w:val="C45911" w:themeColor="accent2" w:themeShade="BF"/>
        <w:sz w:val="36"/>
        <w:szCs w:val="36"/>
        <w:lang w:val="en-US"/>
      </w:rPr>
      <w:t>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7484" w14:textId="77777777" w:rsidR="004F49AA" w:rsidRDefault="004F4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5AB"/>
    <w:multiLevelType w:val="hybridMultilevel"/>
    <w:tmpl w:val="8620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E7745"/>
    <w:multiLevelType w:val="hybridMultilevel"/>
    <w:tmpl w:val="A5D6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47F9B"/>
    <w:multiLevelType w:val="hybridMultilevel"/>
    <w:tmpl w:val="45A8D25E"/>
    <w:lvl w:ilvl="0" w:tplc="08090001">
      <w:start w:val="1"/>
      <w:numFmt w:val="bullet"/>
      <w:lvlText w:val=""/>
      <w:lvlJc w:val="left"/>
      <w:pPr>
        <w:ind w:left="360" w:hanging="360"/>
      </w:pPr>
      <w:rPr>
        <w:rFonts w:ascii="Symbol" w:hAnsi="Symbol" w:hint="default"/>
        <w:color w:val="403387"/>
        <w:position w:val="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F0663"/>
    <w:multiLevelType w:val="hybridMultilevel"/>
    <w:tmpl w:val="75C807A4"/>
    <w:lvl w:ilvl="0" w:tplc="C430F7FE">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8917BA"/>
    <w:multiLevelType w:val="hybridMultilevel"/>
    <w:tmpl w:val="C104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87924"/>
    <w:multiLevelType w:val="hybridMultilevel"/>
    <w:tmpl w:val="CC5A4876"/>
    <w:lvl w:ilvl="0" w:tplc="91D04E40">
      <w:start w:val="1"/>
      <w:numFmt w:val="bullet"/>
      <w:pStyle w:val="Bullet1"/>
      <w:lvlText w:val=""/>
      <w:lvlJc w:val="left"/>
      <w:pPr>
        <w:ind w:left="360" w:hanging="360"/>
      </w:pPr>
      <w:rPr>
        <w:rFonts w:ascii="Wingdings" w:hAnsi="Wingdings" w:cs="Courier" w:hint="default"/>
        <w:color w:val="403387"/>
        <w:position w:val="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8463F"/>
    <w:multiLevelType w:val="hybridMultilevel"/>
    <w:tmpl w:val="248EC908"/>
    <w:lvl w:ilvl="0" w:tplc="08090001">
      <w:start w:val="1"/>
      <w:numFmt w:val="bullet"/>
      <w:lvlText w:val=""/>
      <w:lvlJc w:val="left"/>
      <w:pPr>
        <w:ind w:left="360" w:hanging="360"/>
      </w:pPr>
      <w:rPr>
        <w:rFonts w:ascii="Symbol" w:hAnsi="Symbol" w:hint="default"/>
        <w:color w:val="403387"/>
        <w:position w:val="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B4741"/>
    <w:multiLevelType w:val="multilevel"/>
    <w:tmpl w:val="980C98DC"/>
    <w:lvl w:ilvl="0">
      <w:start w:val="4"/>
      <w:numFmt w:val="decimal"/>
      <w:lvlText w:val="%1"/>
      <w:lvlJc w:val="left"/>
      <w:pPr>
        <w:ind w:left="360" w:hanging="360"/>
      </w:pPr>
      <w:rPr>
        <w:rFonts w:hint="default"/>
      </w:rPr>
    </w:lvl>
    <w:lvl w:ilvl="1">
      <w:start w:val="1"/>
      <w:numFmt w:val="decimal"/>
      <w:lvlText w:val="%1.%2"/>
      <w:lvlJc w:val="left"/>
      <w:pPr>
        <w:ind w:left="753" w:hanging="36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num w:numId="1" w16cid:durableId="818693763">
    <w:abstractNumId w:val="5"/>
  </w:num>
  <w:num w:numId="2" w16cid:durableId="61105297">
    <w:abstractNumId w:val="7"/>
  </w:num>
  <w:num w:numId="3" w16cid:durableId="1118715882">
    <w:abstractNumId w:val="3"/>
  </w:num>
  <w:num w:numId="4" w16cid:durableId="1422406154">
    <w:abstractNumId w:val="6"/>
  </w:num>
  <w:num w:numId="5" w16cid:durableId="1156262743">
    <w:abstractNumId w:val="0"/>
  </w:num>
  <w:num w:numId="6" w16cid:durableId="1202208382">
    <w:abstractNumId w:val="2"/>
  </w:num>
  <w:num w:numId="7" w16cid:durableId="365302068">
    <w:abstractNumId w:val="1"/>
  </w:num>
  <w:num w:numId="8" w16cid:durableId="79214157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43"/>
    <w:rsid w:val="00007EBF"/>
    <w:rsid w:val="000178C4"/>
    <w:rsid w:val="00027031"/>
    <w:rsid w:val="00034ECF"/>
    <w:rsid w:val="0003704F"/>
    <w:rsid w:val="00037BE5"/>
    <w:rsid w:val="000525FC"/>
    <w:rsid w:val="00056747"/>
    <w:rsid w:val="00057910"/>
    <w:rsid w:val="000617B3"/>
    <w:rsid w:val="00081472"/>
    <w:rsid w:val="00097437"/>
    <w:rsid w:val="000B6103"/>
    <w:rsid w:val="000B70E3"/>
    <w:rsid w:val="000C136D"/>
    <w:rsid w:val="000C6714"/>
    <w:rsid w:val="000D728C"/>
    <w:rsid w:val="000E650B"/>
    <w:rsid w:val="000F7A4A"/>
    <w:rsid w:val="00102B77"/>
    <w:rsid w:val="0011460A"/>
    <w:rsid w:val="00126890"/>
    <w:rsid w:val="00135438"/>
    <w:rsid w:val="001405EC"/>
    <w:rsid w:val="001523AF"/>
    <w:rsid w:val="00156FC3"/>
    <w:rsid w:val="00166B8B"/>
    <w:rsid w:val="0016737B"/>
    <w:rsid w:val="00173702"/>
    <w:rsid w:val="001A00A1"/>
    <w:rsid w:val="001A16D6"/>
    <w:rsid w:val="001A52D9"/>
    <w:rsid w:val="001B25A8"/>
    <w:rsid w:val="001C708A"/>
    <w:rsid w:val="001E2346"/>
    <w:rsid w:val="001E5B28"/>
    <w:rsid w:val="0023376D"/>
    <w:rsid w:val="002349A0"/>
    <w:rsid w:val="00262037"/>
    <w:rsid w:val="00271E01"/>
    <w:rsid w:val="0028168C"/>
    <w:rsid w:val="00291D11"/>
    <w:rsid w:val="002924F2"/>
    <w:rsid w:val="00293551"/>
    <w:rsid w:val="00294652"/>
    <w:rsid w:val="002C06F8"/>
    <w:rsid w:val="002D02B6"/>
    <w:rsid w:val="002D4A73"/>
    <w:rsid w:val="002F0189"/>
    <w:rsid w:val="002F04AE"/>
    <w:rsid w:val="00304351"/>
    <w:rsid w:val="0031439E"/>
    <w:rsid w:val="00341AE8"/>
    <w:rsid w:val="003462B3"/>
    <w:rsid w:val="00361AC5"/>
    <w:rsid w:val="00362369"/>
    <w:rsid w:val="0036647F"/>
    <w:rsid w:val="003716FC"/>
    <w:rsid w:val="00383688"/>
    <w:rsid w:val="00395148"/>
    <w:rsid w:val="003B211E"/>
    <w:rsid w:val="003D5FD2"/>
    <w:rsid w:val="003D6716"/>
    <w:rsid w:val="003F5A98"/>
    <w:rsid w:val="003F7382"/>
    <w:rsid w:val="00407130"/>
    <w:rsid w:val="00407556"/>
    <w:rsid w:val="00421CBF"/>
    <w:rsid w:val="00426602"/>
    <w:rsid w:val="004272AA"/>
    <w:rsid w:val="00435C31"/>
    <w:rsid w:val="00437DE4"/>
    <w:rsid w:val="00455DEF"/>
    <w:rsid w:val="00457B44"/>
    <w:rsid w:val="00462265"/>
    <w:rsid w:val="00467149"/>
    <w:rsid w:val="00474741"/>
    <w:rsid w:val="004811EE"/>
    <w:rsid w:val="00496FFF"/>
    <w:rsid w:val="004B401A"/>
    <w:rsid w:val="004C3B0B"/>
    <w:rsid w:val="004C7964"/>
    <w:rsid w:val="004E05B2"/>
    <w:rsid w:val="004F49AA"/>
    <w:rsid w:val="004F4C5E"/>
    <w:rsid w:val="0052091D"/>
    <w:rsid w:val="005244D2"/>
    <w:rsid w:val="005360A3"/>
    <w:rsid w:val="00544791"/>
    <w:rsid w:val="00547B87"/>
    <w:rsid w:val="00551254"/>
    <w:rsid w:val="00554DE9"/>
    <w:rsid w:val="005601AD"/>
    <w:rsid w:val="00564AFB"/>
    <w:rsid w:val="00564DF4"/>
    <w:rsid w:val="005705E6"/>
    <w:rsid w:val="00570D16"/>
    <w:rsid w:val="00577777"/>
    <w:rsid w:val="00584D77"/>
    <w:rsid w:val="005B3888"/>
    <w:rsid w:val="005B3C88"/>
    <w:rsid w:val="005C05A8"/>
    <w:rsid w:val="005E3316"/>
    <w:rsid w:val="005F058D"/>
    <w:rsid w:val="005F3FDE"/>
    <w:rsid w:val="005F4308"/>
    <w:rsid w:val="00603CD8"/>
    <w:rsid w:val="006062D1"/>
    <w:rsid w:val="00620E80"/>
    <w:rsid w:val="00631BE2"/>
    <w:rsid w:val="006336DC"/>
    <w:rsid w:val="00641333"/>
    <w:rsid w:val="00651CD7"/>
    <w:rsid w:val="00665471"/>
    <w:rsid w:val="006671B7"/>
    <w:rsid w:val="00680F9B"/>
    <w:rsid w:val="006A4EC8"/>
    <w:rsid w:val="006A58B2"/>
    <w:rsid w:val="006B338C"/>
    <w:rsid w:val="006C13E6"/>
    <w:rsid w:val="006C41EC"/>
    <w:rsid w:val="006D2BA3"/>
    <w:rsid w:val="006D580A"/>
    <w:rsid w:val="006D7146"/>
    <w:rsid w:val="006F5486"/>
    <w:rsid w:val="006F5970"/>
    <w:rsid w:val="0070544D"/>
    <w:rsid w:val="007122FE"/>
    <w:rsid w:val="00722E78"/>
    <w:rsid w:val="00730C26"/>
    <w:rsid w:val="00731AEF"/>
    <w:rsid w:val="0074090E"/>
    <w:rsid w:val="00760D0D"/>
    <w:rsid w:val="00767D73"/>
    <w:rsid w:val="0077304D"/>
    <w:rsid w:val="00774DE9"/>
    <w:rsid w:val="00777E3A"/>
    <w:rsid w:val="00780086"/>
    <w:rsid w:val="007A5543"/>
    <w:rsid w:val="007B04E8"/>
    <w:rsid w:val="007B1EC4"/>
    <w:rsid w:val="007B320D"/>
    <w:rsid w:val="007C6F21"/>
    <w:rsid w:val="007D1020"/>
    <w:rsid w:val="007D5123"/>
    <w:rsid w:val="007E697C"/>
    <w:rsid w:val="00807D0C"/>
    <w:rsid w:val="0081771A"/>
    <w:rsid w:val="008203D6"/>
    <w:rsid w:val="00833897"/>
    <w:rsid w:val="00834CAC"/>
    <w:rsid w:val="00842878"/>
    <w:rsid w:val="00846E47"/>
    <w:rsid w:val="00876C9B"/>
    <w:rsid w:val="00895422"/>
    <w:rsid w:val="008A5E7D"/>
    <w:rsid w:val="008B53B2"/>
    <w:rsid w:val="008B76B1"/>
    <w:rsid w:val="008C3321"/>
    <w:rsid w:val="008D55A4"/>
    <w:rsid w:val="008E319A"/>
    <w:rsid w:val="008F72E7"/>
    <w:rsid w:val="00900710"/>
    <w:rsid w:val="00912265"/>
    <w:rsid w:val="00914CB0"/>
    <w:rsid w:val="00917596"/>
    <w:rsid w:val="00940502"/>
    <w:rsid w:val="009661A9"/>
    <w:rsid w:val="00975237"/>
    <w:rsid w:val="00984BD6"/>
    <w:rsid w:val="009918BA"/>
    <w:rsid w:val="0099359C"/>
    <w:rsid w:val="009A1D27"/>
    <w:rsid w:val="009A432D"/>
    <w:rsid w:val="009B3950"/>
    <w:rsid w:val="009B3D16"/>
    <w:rsid w:val="009B5323"/>
    <w:rsid w:val="009C7A2F"/>
    <w:rsid w:val="009D4F34"/>
    <w:rsid w:val="009D79F3"/>
    <w:rsid w:val="009E597E"/>
    <w:rsid w:val="009E6131"/>
    <w:rsid w:val="009E6623"/>
    <w:rsid w:val="009F2F4B"/>
    <w:rsid w:val="009F4880"/>
    <w:rsid w:val="009F6493"/>
    <w:rsid w:val="009F6F90"/>
    <w:rsid w:val="00A111F6"/>
    <w:rsid w:val="00A160E6"/>
    <w:rsid w:val="00A454AE"/>
    <w:rsid w:val="00A52E15"/>
    <w:rsid w:val="00A53907"/>
    <w:rsid w:val="00A844C1"/>
    <w:rsid w:val="00A9286E"/>
    <w:rsid w:val="00AA4A0B"/>
    <w:rsid w:val="00AB2453"/>
    <w:rsid w:val="00AB70B4"/>
    <w:rsid w:val="00AD1B88"/>
    <w:rsid w:val="00AD21DC"/>
    <w:rsid w:val="00AD437F"/>
    <w:rsid w:val="00AD61B9"/>
    <w:rsid w:val="00AF5A7A"/>
    <w:rsid w:val="00AF63FD"/>
    <w:rsid w:val="00B12AA1"/>
    <w:rsid w:val="00B137AD"/>
    <w:rsid w:val="00B21988"/>
    <w:rsid w:val="00B41E18"/>
    <w:rsid w:val="00B44A93"/>
    <w:rsid w:val="00B465B6"/>
    <w:rsid w:val="00B60BB3"/>
    <w:rsid w:val="00B95899"/>
    <w:rsid w:val="00BA0D32"/>
    <w:rsid w:val="00BA38F9"/>
    <w:rsid w:val="00BB1CBB"/>
    <w:rsid w:val="00BB48A5"/>
    <w:rsid w:val="00BB6C1B"/>
    <w:rsid w:val="00BD7933"/>
    <w:rsid w:val="00BE1EC8"/>
    <w:rsid w:val="00BF33E8"/>
    <w:rsid w:val="00C03471"/>
    <w:rsid w:val="00C102E3"/>
    <w:rsid w:val="00C11FA4"/>
    <w:rsid w:val="00C3263F"/>
    <w:rsid w:val="00C33D1F"/>
    <w:rsid w:val="00C43C63"/>
    <w:rsid w:val="00C46E01"/>
    <w:rsid w:val="00C64033"/>
    <w:rsid w:val="00C72B69"/>
    <w:rsid w:val="00C732F0"/>
    <w:rsid w:val="00C9700C"/>
    <w:rsid w:val="00C97BD0"/>
    <w:rsid w:val="00CA39BE"/>
    <w:rsid w:val="00CC43A0"/>
    <w:rsid w:val="00CE0FE5"/>
    <w:rsid w:val="00CF423A"/>
    <w:rsid w:val="00D06C54"/>
    <w:rsid w:val="00D07138"/>
    <w:rsid w:val="00D47E31"/>
    <w:rsid w:val="00D52A24"/>
    <w:rsid w:val="00D52BA4"/>
    <w:rsid w:val="00D806F3"/>
    <w:rsid w:val="00D84279"/>
    <w:rsid w:val="00D93B68"/>
    <w:rsid w:val="00D93EC1"/>
    <w:rsid w:val="00D94FF4"/>
    <w:rsid w:val="00DA1FF8"/>
    <w:rsid w:val="00DD178D"/>
    <w:rsid w:val="00DD2356"/>
    <w:rsid w:val="00DD3FEE"/>
    <w:rsid w:val="00DE1B30"/>
    <w:rsid w:val="00E22872"/>
    <w:rsid w:val="00E32D0D"/>
    <w:rsid w:val="00E33A90"/>
    <w:rsid w:val="00E342E3"/>
    <w:rsid w:val="00E40924"/>
    <w:rsid w:val="00E53BEA"/>
    <w:rsid w:val="00E707CC"/>
    <w:rsid w:val="00E73FAF"/>
    <w:rsid w:val="00EA2828"/>
    <w:rsid w:val="00EC4598"/>
    <w:rsid w:val="00EE3853"/>
    <w:rsid w:val="00EE4B76"/>
    <w:rsid w:val="00EF44DC"/>
    <w:rsid w:val="00F03480"/>
    <w:rsid w:val="00F04017"/>
    <w:rsid w:val="00F04D8F"/>
    <w:rsid w:val="00F05726"/>
    <w:rsid w:val="00F1345C"/>
    <w:rsid w:val="00F2019E"/>
    <w:rsid w:val="00F23CEF"/>
    <w:rsid w:val="00F26DBB"/>
    <w:rsid w:val="00F3486A"/>
    <w:rsid w:val="00F349A6"/>
    <w:rsid w:val="00F37C03"/>
    <w:rsid w:val="00F529EE"/>
    <w:rsid w:val="00F551D7"/>
    <w:rsid w:val="00F55B89"/>
    <w:rsid w:val="00F625F7"/>
    <w:rsid w:val="00F74987"/>
    <w:rsid w:val="00F92806"/>
    <w:rsid w:val="00F92E44"/>
    <w:rsid w:val="00FA02EA"/>
    <w:rsid w:val="00FA2602"/>
    <w:rsid w:val="00FB2B96"/>
    <w:rsid w:val="00FB2D8D"/>
    <w:rsid w:val="00FB7183"/>
    <w:rsid w:val="00FD57B9"/>
    <w:rsid w:val="00FD5EB3"/>
    <w:rsid w:val="00FE1575"/>
    <w:rsid w:val="00FE7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29620"/>
  <w15:chartTrackingRefBased/>
  <w15:docId w15:val="{2D74035B-D28F-4681-B87C-55BD6648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00C"/>
    <w:rPr>
      <w:rFonts w:ascii="Arial" w:hAnsi="Arial"/>
      <w:sz w:val="22"/>
      <w:szCs w:val="24"/>
      <w:lang w:eastAsia="en-US"/>
    </w:rPr>
  </w:style>
  <w:style w:type="paragraph" w:styleId="Heading1">
    <w:name w:val="heading 1"/>
    <w:basedOn w:val="Normal"/>
    <w:next w:val="Normal"/>
    <w:link w:val="Heading1Char"/>
    <w:uiPriority w:val="9"/>
    <w:qFormat/>
    <w:rsid w:val="008A5E7D"/>
    <w:pPr>
      <w:keepNext/>
      <w:spacing w:before="360"/>
      <w:outlineLvl w:val="0"/>
    </w:pPr>
    <w:rPr>
      <w:rFonts w:eastAsia="Calibri" w:cs="Arial"/>
      <w:b/>
      <w:color w:val="403387"/>
      <w:sz w:val="28"/>
      <w:szCs w:val="28"/>
    </w:rPr>
  </w:style>
  <w:style w:type="paragraph" w:styleId="Heading2">
    <w:name w:val="heading 2"/>
    <w:basedOn w:val="Normal"/>
    <w:next w:val="Normal"/>
    <w:link w:val="Heading2Char"/>
    <w:uiPriority w:val="9"/>
    <w:qFormat/>
    <w:rsid w:val="008A5E7D"/>
    <w:pPr>
      <w:keepNext/>
      <w:keepLines/>
      <w:spacing w:before="360"/>
      <w:outlineLvl w:val="1"/>
    </w:pPr>
    <w:rPr>
      <w:rFonts w:cs="Arial"/>
      <w:b/>
      <w:bCs/>
      <w:color w:val="5F5F5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pPr>
      <w:tabs>
        <w:tab w:val="left" w:pos="720"/>
        <w:tab w:val="decimal" w:pos="7920"/>
      </w:tabs>
    </w:pPr>
    <w:rPr>
      <w:rFonts w:ascii="Times New Roman" w:hAnsi="Times New Roman"/>
      <w:szCs w:val="20"/>
    </w:rPr>
  </w:style>
  <w:style w:type="paragraph" w:styleId="BodyText2">
    <w:name w:val="Body Text 2"/>
    <w:basedOn w:val="Normal"/>
    <w:pPr>
      <w:tabs>
        <w:tab w:val="left" w:pos="1701"/>
      </w:tabs>
    </w:pPr>
    <w:rPr>
      <w:rFonts w:ascii="Times New Roman" w:hAnsi="Times New Roman"/>
      <w:b/>
      <w:sz w:val="20"/>
      <w:szCs w:val="20"/>
    </w:rPr>
  </w:style>
  <w:style w:type="paragraph" w:styleId="BodyTextIndent">
    <w:name w:val="Body Text Indent"/>
    <w:basedOn w:val="Normal"/>
    <w:pPr>
      <w:ind w:left="720" w:hanging="720"/>
    </w:pPr>
    <w:rPr>
      <w:rFonts w:ascii="Times New Roman" w:hAnsi="Times New Roman"/>
      <w:szCs w:val="20"/>
    </w:rPr>
  </w:style>
  <w:style w:type="paragraph" w:styleId="Header">
    <w:name w:val="header"/>
    <w:basedOn w:val="Normal"/>
    <w:link w:val="HeaderChar"/>
    <w:uiPriority w:val="99"/>
    <w:pPr>
      <w:tabs>
        <w:tab w:val="center" w:pos="4153"/>
        <w:tab w:val="right" w:pos="8306"/>
      </w:tabs>
    </w:pPr>
    <w:rPr>
      <w:rFonts w:ascii="Times New Roman" w:hAnsi="Times New Roman"/>
      <w:sz w:val="20"/>
      <w:szCs w:val="20"/>
    </w:rPr>
  </w:style>
  <w:style w:type="paragraph" w:styleId="Footer">
    <w:name w:val="footer"/>
    <w:basedOn w:val="Normal"/>
    <w:pPr>
      <w:tabs>
        <w:tab w:val="center" w:pos="4153"/>
        <w:tab w:val="right" w:pos="8306"/>
      </w:tabs>
    </w:pPr>
    <w:rPr>
      <w:rFonts w:ascii="Courier New" w:hAnsi="Courier New"/>
      <w:sz w:val="24"/>
      <w:szCs w:val="20"/>
    </w:rPr>
  </w:style>
  <w:style w:type="paragraph" w:styleId="BalloonText">
    <w:name w:val="Balloon Text"/>
    <w:basedOn w:val="Normal"/>
    <w:link w:val="BalloonTextChar"/>
    <w:rsid w:val="00474741"/>
    <w:rPr>
      <w:rFonts w:ascii="Tahoma" w:hAnsi="Tahoma" w:cs="Tahoma"/>
      <w:sz w:val="16"/>
      <w:szCs w:val="16"/>
    </w:rPr>
  </w:style>
  <w:style w:type="character" w:customStyle="1" w:styleId="BalloonTextChar">
    <w:name w:val="Balloon Text Char"/>
    <w:link w:val="BalloonText"/>
    <w:rsid w:val="00474741"/>
    <w:rPr>
      <w:rFonts w:ascii="Tahoma" w:hAnsi="Tahoma" w:cs="Tahoma"/>
      <w:sz w:val="16"/>
      <w:szCs w:val="16"/>
      <w:lang w:eastAsia="en-US"/>
    </w:rPr>
  </w:style>
  <w:style w:type="character" w:customStyle="1" w:styleId="BodyText3Char">
    <w:name w:val="Body Text 3 Char"/>
    <w:link w:val="BodyText3"/>
    <w:uiPriority w:val="99"/>
    <w:rsid w:val="00474741"/>
    <w:rPr>
      <w:sz w:val="22"/>
      <w:lang w:eastAsia="en-US"/>
    </w:rPr>
  </w:style>
  <w:style w:type="paragraph" w:styleId="Revision">
    <w:name w:val="Revision"/>
    <w:hidden/>
    <w:uiPriority w:val="99"/>
    <w:semiHidden/>
    <w:rsid w:val="002F0189"/>
    <w:rPr>
      <w:rFonts w:ascii="Arial" w:hAnsi="Arial"/>
      <w:sz w:val="22"/>
      <w:szCs w:val="24"/>
      <w:lang w:eastAsia="en-US"/>
    </w:rPr>
  </w:style>
  <w:style w:type="character" w:styleId="CommentReference">
    <w:name w:val="annotation reference"/>
    <w:rsid w:val="002F0189"/>
    <w:rPr>
      <w:sz w:val="16"/>
      <w:szCs w:val="16"/>
    </w:rPr>
  </w:style>
  <w:style w:type="paragraph" w:styleId="CommentText">
    <w:name w:val="annotation text"/>
    <w:basedOn w:val="Normal"/>
    <w:link w:val="CommentTextChar"/>
    <w:rsid w:val="002F0189"/>
    <w:rPr>
      <w:sz w:val="20"/>
      <w:szCs w:val="20"/>
    </w:rPr>
  </w:style>
  <w:style w:type="character" w:customStyle="1" w:styleId="CommentTextChar">
    <w:name w:val="Comment Text Char"/>
    <w:link w:val="CommentText"/>
    <w:rsid w:val="002F0189"/>
    <w:rPr>
      <w:rFonts w:ascii="Arial" w:hAnsi="Arial"/>
      <w:lang w:eastAsia="en-US"/>
    </w:rPr>
  </w:style>
  <w:style w:type="paragraph" w:styleId="CommentSubject">
    <w:name w:val="annotation subject"/>
    <w:basedOn w:val="CommentText"/>
    <w:next w:val="CommentText"/>
    <w:link w:val="CommentSubjectChar"/>
    <w:rsid w:val="002F0189"/>
    <w:rPr>
      <w:b/>
      <w:bCs/>
    </w:rPr>
  </w:style>
  <w:style w:type="character" w:customStyle="1" w:styleId="CommentSubjectChar">
    <w:name w:val="Comment Subject Char"/>
    <w:link w:val="CommentSubject"/>
    <w:rsid w:val="002F0189"/>
    <w:rPr>
      <w:rFonts w:ascii="Arial" w:hAnsi="Arial"/>
      <w:b/>
      <w:bCs/>
      <w:lang w:eastAsia="en-US"/>
    </w:rPr>
  </w:style>
  <w:style w:type="paragraph" w:customStyle="1" w:styleId="TableText">
    <w:name w:val="Table Text"/>
    <w:basedOn w:val="Normal"/>
    <w:qFormat/>
    <w:rsid w:val="001A00A1"/>
    <w:pPr>
      <w:spacing w:before="60" w:after="60"/>
    </w:pPr>
    <w:rPr>
      <w:rFonts w:eastAsia="Calibri" w:cs="Arial"/>
      <w:bCs/>
      <w:color w:val="5F5F5F"/>
      <w:sz w:val="20"/>
      <w:szCs w:val="20"/>
      <w:lang w:eastAsia="en-GB"/>
    </w:rPr>
  </w:style>
  <w:style w:type="paragraph" w:customStyle="1" w:styleId="TableTextCentred">
    <w:name w:val="Table Text Centred"/>
    <w:basedOn w:val="TableText"/>
    <w:qFormat/>
    <w:rsid w:val="001A00A1"/>
    <w:pPr>
      <w:jc w:val="center"/>
    </w:pPr>
  </w:style>
  <w:style w:type="character" w:customStyle="1" w:styleId="Bold">
    <w:name w:val="Bold"/>
    <w:uiPriority w:val="1"/>
    <w:qFormat/>
    <w:rsid w:val="001A00A1"/>
    <w:rPr>
      <w:b/>
    </w:rPr>
  </w:style>
  <w:style w:type="character" w:customStyle="1" w:styleId="Heading1Char">
    <w:name w:val="Heading 1 Char"/>
    <w:link w:val="Heading1"/>
    <w:uiPriority w:val="9"/>
    <w:rsid w:val="008A5E7D"/>
    <w:rPr>
      <w:rFonts w:ascii="Arial" w:eastAsia="Calibri" w:hAnsi="Arial" w:cs="Arial"/>
      <w:b/>
      <w:color w:val="403387"/>
      <w:sz w:val="28"/>
      <w:szCs w:val="28"/>
      <w:lang w:eastAsia="en-US"/>
    </w:rPr>
  </w:style>
  <w:style w:type="character" w:customStyle="1" w:styleId="Heading2Char">
    <w:name w:val="Heading 2 Char"/>
    <w:link w:val="Heading2"/>
    <w:uiPriority w:val="9"/>
    <w:rsid w:val="008A5E7D"/>
    <w:rPr>
      <w:rFonts w:ascii="Arial" w:hAnsi="Arial" w:cs="Arial"/>
      <w:b/>
      <w:bCs/>
      <w:color w:val="5F5F5F"/>
      <w:sz w:val="24"/>
      <w:szCs w:val="24"/>
      <w:lang w:eastAsia="en-US"/>
    </w:rPr>
  </w:style>
  <w:style w:type="paragraph" w:customStyle="1" w:styleId="Bullet1">
    <w:name w:val="Bullet 1"/>
    <w:basedOn w:val="Normal"/>
    <w:qFormat/>
    <w:rsid w:val="008A5E7D"/>
    <w:pPr>
      <w:numPr>
        <w:numId w:val="1"/>
      </w:numPr>
      <w:spacing w:after="120"/>
      <w:contextualSpacing/>
    </w:pPr>
    <w:rPr>
      <w:rFonts w:eastAsia="Calibri" w:cs="Arial"/>
      <w:color w:val="5F5F5F"/>
      <w:szCs w:val="22"/>
    </w:rPr>
  </w:style>
  <w:style w:type="character" w:styleId="Hyperlink">
    <w:name w:val="Hyperlink"/>
    <w:rsid w:val="00876C9B"/>
    <w:rPr>
      <w:color w:val="0000FF"/>
      <w:u w:val="single"/>
    </w:rPr>
  </w:style>
  <w:style w:type="character" w:customStyle="1" w:styleId="HeaderChar">
    <w:name w:val="Header Char"/>
    <w:basedOn w:val="DefaultParagraphFont"/>
    <w:link w:val="Header"/>
    <w:uiPriority w:val="99"/>
    <w:rsid w:val="006A58B2"/>
    <w:rPr>
      <w:lang w:eastAsia="en-US"/>
    </w:rPr>
  </w:style>
  <w:style w:type="paragraph" w:styleId="ListParagraph">
    <w:name w:val="List Paragraph"/>
    <w:basedOn w:val="Normal"/>
    <w:uiPriority w:val="34"/>
    <w:qFormat/>
    <w:rsid w:val="006A5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77969">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9150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D81327F9FD24AA777C5193F9D837F" ma:contentTypeVersion="4" ma:contentTypeDescription="Create a new document." ma:contentTypeScope="" ma:versionID="63f957a97653490c0638e7556d4e7067">
  <xsd:schema xmlns:xsd="http://www.w3.org/2001/XMLSchema" xmlns:xs="http://www.w3.org/2001/XMLSchema" xmlns:p="http://schemas.microsoft.com/office/2006/metadata/properties" xmlns:ns2="32c60465-efb8-4ad4-8532-ef19e0ede2ce" targetNamespace="http://schemas.microsoft.com/office/2006/metadata/properties" ma:root="true" ma:fieldsID="1faa2ca8caa983317d0b97b29da59e29" ns2:_="">
    <xsd:import namespace="32c60465-efb8-4ad4-8532-ef19e0ede2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60465-efb8-4ad4-8532-ef19e0ede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8BCF-BE35-4208-B4C3-AFCCAA921BD4}">
  <ds:schemaRefs>
    <ds:schemaRef ds:uri="http://schemas.microsoft.com/sharepoint/v3/contenttype/forms"/>
  </ds:schemaRefs>
</ds:datastoreItem>
</file>

<file path=customXml/itemProps2.xml><?xml version="1.0" encoding="utf-8"?>
<ds:datastoreItem xmlns:ds="http://schemas.openxmlformats.org/officeDocument/2006/customXml" ds:itemID="{9566AC44-4A15-422B-929A-E825EC08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60465-efb8-4ad4-8532-ef19e0ede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3B957-2295-435D-A0C2-7F4745A5A4CF}">
  <ds:schemaRefs>
    <ds:schemaRef ds:uri="http://schemas.microsoft.com/office/2006/metadata/longProperties"/>
  </ds:schemaRefs>
</ds:datastoreItem>
</file>

<file path=customXml/itemProps4.xml><?xml version="1.0" encoding="utf-8"?>
<ds:datastoreItem xmlns:ds="http://schemas.openxmlformats.org/officeDocument/2006/customXml" ds:itemID="{675012B2-3D59-46AE-9689-555DA11078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3D4AF2-90D4-4A78-B65B-7363522D6785}">
  <ds:schemaRefs>
    <ds:schemaRef ds:uri="http://schemas.openxmlformats.org/officeDocument/2006/bibliography"/>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CDM 2015 - Client Project Health and Safety Management Arrangements Guidance</vt:lpstr>
    </vt:vector>
  </TitlesOfParts>
  <Manager>andy.may@engie.com</Manager>
  <Company>ENGIE</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 2015 - Client Project Health and Safety Management Arrangements Guidance</dc:title>
  <dc:subject/>
  <dc:creator>james.coote@engie.com</dc:creator>
  <cp:keywords/>
  <cp:lastModifiedBy>Evan Judge</cp:lastModifiedBy>
  <cp:revision>11</cp:revision>
  <cp:lastPrinted>2016-05-05T12:09:00Z</cp:lastPrinted>
  <dcterms:created xsi:type="dcterms:W3CDTF">2018-11-22T10:25:00Z</dcterms:created>
  <dcterms:modified xsi:type="dcterms:W3CDTF">2025-04-04T13:48:00Z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_dlc_DocId">
    <vt:lpwstr>4J44QYQ3PX5T-364-51</vt:lpwstr>
  </property>
  <property fmtid="{D5CDD505-2E9C-101B-9397-08002B2CF9AE}" pid="4" name="_dlc_DocIdItemGuid">
    <vt:lpwstr>c23b3187-322d-4035-83fa-c474202e3d2b</vt:lpwstr>
  </property>
  <property fmtid="{D5CDD505-2E9C-101B-9397-08002B2CF9AE}" pid="5" name="_dlc_DocIdUrl">
    <vt:lpwstr>http://one.cofely.co.uk/CentralFunctions/HealthSafety/_layouts/15/DocIdRedir.aspx?ID=4J44QYQ3PX5T-364-51, 4J44QYQ3PX5T-364-51</vt:lpwstr>
  </property>
  <property fmtid="{D5CDD505-2E9C-101B-9397-08002B2CF9AE}" pid="6" name="Tags">
    <vt:lpwstr/>
  </property>
  <property fmtid="{D5CDD505-2E9C-101B-9397-08002B2CF9AE}" pid="7" name="ClassificationContentMarkingFooterShapeIds">
    <vt:lpwstr>2,3,5</vt:lpwstr>
  </property>
  <property fmtid="{D5CDD505-2E9C-101B-9397-08002B2CF9AE}" pid="8" name="ClassificationContentMarkingFooterFontProps">
    <vt:lpwstr>#000000,9,Calibri</vt:lpwstr>
  </property>
  <property fmtid="{D5CDD505-2E9C-101B-9397-08002B2CF9AE}" pid="9" name="ClassificationContentMarkingFooterText">
    <vt:lpwstr>Internal</vt:lpwstr>
  </property>
  <property fmtid="{D5CDD505-2E9C-101B-9397-08002B2CF9AE}" pid="10" name="MSIP_Label_f472f14c-d40a-4996-84a9-078c3b8640e0_Enabled">
    <vt:lpwstr>true</vt:lpwstr>
  </property>
  <property fmtid="{D5CDD505-2E9C-101B-9397-08002B2CF9AE}" pid="11" name="MSIP_Label_f472f14c-d40a-4996-84a9-078c3b8640e0_SetDate">
    <vt:lpwstr>2022-05-12T10:54:26Z</vt:lpwstr>
  </property>
  <property fmtid="{D5CDD505-2E9C-101B-9397-08002B2CF9AE}" pid="12" name="MSIP_Label_f472f14c-d40a-4996-84a9-078c3b8640e0_Method">
    <vt:lpwstr>Privileged</vt:lpwstr>
  </property>
  <property fmtid="{D5CDD505-2E9C-101B-9397-08002B2CF9AE}" pid="13" name="MSIP_Label_f472f14c-d40a-4996-84a9-078c3b8640e0_Name">
    <vt:lpwstr>f472f14c-d40a-4996-84a9-078c3b8640e0</vt:lpwstr>
  </property>
  <property fmtid="{D5CDD505-2E9C-101B-9397-08002B2CF9AE}" pid="14" name="MSIP_Label_f472f14c-d40a-4996-84a9-078c3b8640e0_SiteId">
    <vt:lpwstr>cd62b7dd-4b48-44bd-90e7-e143a22c8ead</vt:lpwstr>
  </property>
  <property fmtid="{D5CDD505-2E9C-101B-9397-08002B2CF9AE}" pid="15" name="MSIP_Label_f472f14c-d40a-4996-84a9-078c3b8640e0_ActionId">
    <vt:lpwstr>228e3607-b553-40af-966c-01646a0ed4f0</vt:lpwstr>
  </property>
  <property fmtid="{D5CDD505-2E9C-101B-9397-08002B2CF9AE}" pid="16" name="MSIP_Label_f472f14c-d40a-4996-84a9-078c3b8640e0_ContentBits">
    <vt:lpwstr>2</vt:lpwstr>
  </property>
  <property fmtid="{D5CDD505-2E9C-101B-9397-08002B2CF9AE}" pid="17" name="ContentTypeId">
    <vt:lpwstr>0x0101008CCD81327F9FD24AA777C5193F9D837F</vt:lpwstr>
  </property>
</Properties>
</file>